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93" w:rsidRPr="00754972" w:rsidRDefault="001703DA" w:rsidP="00F04F27">
      <w:pPr>
        <w:spacing w:after="0" w:line="240" w:lineRule="auto"/>
        <w:ind w:left="4988" w:firstLine="2932"/>
        <w:rPr>
          <w:b/>
          <w:color w:val="17365D" w:themeColor="text2" w:themeShade="BF"/>
          <w:sz w:val="28"/>
          <w:szCs w:val="28"/>
        </w:rPr>
      </w:pPr>
      <w:r>
        <w:rPr>
          <w:b/>
          <w:noProof/>
          <w:color w:val="17365D" w:themeColor="text2" w:themeShade="BF"/>
          <w:sz w:val="28"/>
          <w:szCs w:val="28"/>
          <w:lang w:val="en-US"/>
        </w:rPr>
        <w:drawing>
          <wp:anchor distT="0" distB="0" distL="114300" distR="114300" simplePos="0" relativeHeight="251660288" behindDoc="1" locked="0" layoutInCell="1" allowOverlap="1" wp14:anchorId="57510F41" wp14:editId="5BC3104C">
            <wp:simplePos x="0" y="0"/>
            <wp:positionH relativeFrom="column">
              <wp:posOffset>13507077</wp:posOffset>
            </wp:positionH>
            <wp:positionV relativeFrom="paragraph">
              <wp:posOffset>-270510</wp:posOffset>
            </wp:positionV>
            <wp:extent cx="1508760" cy="937895"/>
            <wp:effectExtent l="0" t="0" r="0" b="0"/>
            <wp:wrapTight wrapText="bothSides">
              <wp:wrapPolygon edited="0">
                <wp:start x="0" y="0"/>
                <wp:lineTo x="0" y="21059"/>
                <wp:lineTo x="21273" y="21059"/>
                <wp:lineTo x="21273" y="0"/>
                <wp:lineTo x="0" y="0"/>
              </wp:wrapPolygon>
            </wp:wrapTight>
            <wp:docPr id="2" name="Picture 2">
              <a:hlinkClick xmlns:a="http://schemas.openxmlformats.org/drawingml/2006/main" r:id="rId7" tooltip="The AMSI School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e-logo1.jpg"/>
                    <pic:cNvPicPr/>
                  </pic:nvPicPr>
                  <pic:blipFill>
                    <a:blip r:embed="rId8">
                      <a:extLst>
                        <a:ext uri="{28A0092B-C50C-407E-A947-70E740481C1C}">
                          <a14:useLocalDpi xmlns:a14="http://schemas.microsoft.com/office/drawing/2010/main" val="0"/>
                        </a:ext>
                      </a:extLst>
                    </a:blip>
                    <a:stretch>
                      <a:fillRect/>
                    </a:stretch>
                  </pic:blipFill>
                  <pic:spPr>
                    <a:xfrm>
                      <a:off x="0" y="0"/>
                      <a:ext cx="1508760" cy="937895"/>
                    </a:xfrm>
                    <a:prstGeom prst="rect">
                      <a:avLst/>
                    </a:prstGeom>
                  </pic:spPr>
                </pic:pic>
              </a:graphicData>
            </a:graphic>
            <wp14:sizeRelH relativeFrom="page">
              <wp14:pctWidth>0</wp14:pctWidth>
            </wp14:sizeRelH>
            <wp14:sizeRelV relativeFrom="page">
              <wp14:pctHeight>0</wp14:pctHeight>
            </wp14:sizeRelV>
          </wp:anchor>
        </w:drawing>
      </w:r>
      <w:r w:rsidR="00C17FED">
        <w:rPr>
          <w:b/>
          <w:noProof/>
          <w:color w:val="17365D" w:themeColor="text2" w:themeShade="BF"/>
          <w:sz w:val="28"/>
          <w:szCs w:val="28"/>
          <w:lang w:val="en-US"/>
        </w:rPr>
        <w:drawing>
          <wp:anchor distT="0" distB="0" distL="114300" distR="114300" simplePos="0" relativeHeight="251658240" behindDoc="1" locked="0" layoutInCell="1" allowOverlap="1" wp14:anchorId="5380CC76" wp14:editId="0F309F04">
            <wp:simplePos x="0" y="0"/>
            <wp:positionH relativeFrom="column">
              <wp:posOffset>-90170</wp:posOffset>
            </wp:positionH>
            <wp:positionV relativeFrom="paragraph">
              <wp:posOffset>-282385</wp:posOffset>
            </wp:positionV>
            <wp:extent cx="1980541" cy="938150"/>
            <wp:effectExtent l="0" t="0" r="1270" b="0"/>
            <wp:wrapTight wrapText="bothSides">
              <wp:wrapPolygon edited="0">
                <wp:start x="0" y="0"/>
                <wp:lineTo x="0" y="21059"/>
                <wp:lineTo x="21406" y="21059"/>
                <wp:lineTo x="21406" y="0"/>
                <wp:lineTo x="0" y="0"/>
              </wp:wrapPolygon>
            </wp:wrapTight>
            <wp:docPr id="1" name="Picture 1">
              <a:hlinkClick xmlns:a="http://schemas.openxmlformats.org/drawingml/2006/main" r:id="rId9" tooltip="AMSI's main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i logo.jpg"/>
                    <pic:cNvPicPr/>
                  </pic:nvPicPr>
                  <pic:blipFill>
                    <a:blip r:embed="rId10">
                      <a:extLst>
                        <a:ext uri="{28A0092B-C50C-407E-A947-70E740481C1C}">
                          <a14:useLocalDpi xmlns:a14="http://schemas.microsoft.com/office/drawing/2010/main" val="0"/>
                        </a:ext>
                      </a:extLst>
                    </a:blip>
                    <a:stretch>
                      <a:fillRect/>
                    </a:stretch>
                  </pic:blipFill>
                  <pic:spPr>
                    <a:xfrm>
                      <a:off x="0" y="0"/>
                      <a:ext cx="1980541" cy="938150"/>
                    </a:xfrm>
                    <a:prstGeom prst="rect">
                      <a:avLst/>
                    </a:prstGeom>
                  </pic:spPr>
                </pic:pic>
              </a:graphicData>
            </a:graphic>
            <wp14:sizeRelH relativeFrom="page">
              <wp14:pctWidth>0</wp14:pctWidth>
            </wp14:sizeRelH>
            <wp14:sizeRelV relativeFrom="page">
              <wp14:pctHeight>0</wp14:pctHeight>
            </wp14:sizeRelV>
          </wp:anchor>
        </w:drawing>
      </w:r>
      <w:r w:rsidR="00995193">
        <w:rPr>
          <w:b/>
          <w:color w:val="17365D" w:themeColor="text2" w:themeShade="BF"/>
          <w:sz w:val="28"/>
          <w:szCs w:val="28"/>
        </w:rPr>
        <w:t>MATHEMATICS</w:t>
      </w:r>
      <w:r w:rsidR="00995193" w:rsidRPr="00405867">
        <w:rPr>
          <w:b/>
          <w:color w:val="17365D" w:themeColor="text2" w:themeShade="BF"/>
          <w:sz w:val="28"/>
          <w:szCs w:val="28"/>
        </w:rPr>
        <w:t xml:space="preserve"> SCOPE AND SEQUENCE</w:t>
      </w:r>
      <w:r w:rsidR="003B1EB5">
        <w:rPr>
          <w:b/>
          <w:color w:val="17365D" w:themeColor="text2" w:themeShade="BF"/>
          <w:sz w:val="28"/>
          <w:szCs w:val="28"/>
        </w:rPr>
        <w:t xml:space="preserve"> AUDIT: Year </w:t>
      </w:r>
      <w:r w:rsidR="00385859">
        <w:rPr>
          <w:b/>
          <w:color w:val="17365D" w:themeColor="text2" w:themeShade="BF"/>
          <w:sz w:val="28"/>
          <w:szCs w:val="28"/>
        </w:rPr>
        <w:t>1</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389"/>
        <w:gridCol w:w="1557"/>
        <w:gridCol w:w="3827"/>
      </w:tblGrid>
      <w:tr w:rsidR="00995193" w:rsidTr="00313D0F">
        <w:tc>
          <w:tcPr>
            <w:tcW w:w="1384" w:type="dxa"/>
          </w:tcPr>
          <w:p w:rsidR="00995193" w:rsidRDefault="00995193" w:rsidP="00995193">
            <w:pPr>
              <w:jc w:val="center"/>
              <w:rPr>
                <w:b/>
                <w:color w:val="17365D" w:themeColor="text2" w:themeShade="BF"/>
                <w:sz w:val="28"/>
                <w:szCs w:val="28"/>
              </w:rPr>
            </w:pPr>
            <w:r>
              <w:rPr>
                <w:b/>
                <w:color w:val="17365D" w:themeColor="text2" w:themeShade="BF"/>
                <w:sz w:val="28"/>
                <w:szCs w:val="28"/>
              </w:rPr>
              <w:t>School:</w:t>
            </w:r>
          </w:p>
        </w:tc>
        <w:tc>
          <w:tcPr>
            <w:tcW w:w="9389" w:type="dxa"/>
            <w:tcBorders>
              <w:bottom w:val="single" w:sz="4" w:space="0" w:color="auto"/>
            </w:tcBorders>
          </w:tcPr>
          <w:p w:rsidR="00995193" w:rsidRDefault="00995193" w:rsidP="00995193">
            <w:pPr>
              <w:jc w:val="center"/>
              <w:rPr>
                <w:b/>
                <w:color w:val="17365D" w:themeColor="text2" w:themeShade="BF"/>
                <w:sz w:val="28"/>
                <w:szCs w:val="28"/>
              </w:rPr>
            </w:pPr>
          </w:p>
        </w:tc>
        <w:tc>
          <w:tcPr>
            <w:tcW w:w="1557" w:type="dxa"/>
          </w:tcPr>
          <w:p w:rsidR="00995193" w:rsidRDefault="00995193" w:rsidP="00995193">
            <w:pPr>
              <w:jc w:val="center"/>
              <w:rPr>
                <w:b/>
                <w:color w:val="17365D" w:themeColor="text2" w:themeShade="BF"/>
                <w:sz w:val="28"/>
                <w:szCs w:val="28"/>
              </w:rPr>
            </w:pPr>
            <w:r>
              <w:rPr>
                <w:b/>
                <w:color w:val="17365D" w:themeColor="text2" w:themeShade="BF"/>
                <w:sz w:val="28"/>
                <w:szCs w:val="28"/>
              </w:rPr>
              <w:t>Date:</w:t>
            </w:r>
          </w:p>
        </w:tc>
        <w:tc>
          <w:tcPr>
            <w:tcW w:w="3827" w:type="dxa"/>
            <w:tcBorders>
              <w:bottom w:val="single" w:sz="4" w:space="0" w:color="auto"/>
            </w:tcBorders>
          </w:tcPr>
          <w:p w:rsidR="00995193" w:rsidRDefault="00995193" w:rsidP="00995193">
            <w:pPr>
              <w:jc w:val="center"/>
              <w:rPr>
                <w:b/>
                <w:color w:val="17365D" w:themeColor="text2" w:themeShade="BF"/>
                <w:sz w:val="28"/>
                <w:szCs w:val="28"/>
              </w:rPr>
            </w:pPr>
          </w:p>
        </w:tc>
      </w:tr>
    </w:tbl>
    <w:p w:rsidR="00995193" w:rsidRDefault="00995193" w:rsidP="00995193">
      <w:pPr>
        <w:spacing w:after="0" w:line="240" w:lineRule="auto"/>
        <w:rPr>
          <w:b/>
          <w:color w:val="17365D" w:themeColor="text2" w:themeShade="BF"/>
          <w:sz w:val="24"/>
          <w:szCs w:val="24"/>
        </w:rPr>
      </w:pPr>
    </w:p>
    <w:p w:rsidR="0085578D" w:rsidRPr="0085578D" w:rsidRDefault="0085578D" w:rsidP="0085578D">
      <w:pPr>
        <w:spacing w:after="0" w:line="240" w:lineRule="auto"/>
        <w:ind w:left="-567"/>
        <w:rPr>
          <w:b/>
          <w:color w:val="17365D" w:themeColor="text2" w:themeShade="BF"/>
          <w:sz w:val="24"/>
          <w:szCs w:val="24"/>
          <w:u w:val="single"/>
        </w:rPr>
      </w:pPr>
    </w:p>
    <w:tbl>
      <w:tblPr>
        <w:tblStyle w:val="TableGrid"/>
        <w:tblpPr w:leftFromText="180" w:rightFromText="180" w:vertAnchor="page" w:horzAnchor="margin" w:tblpXSpec="center" w:tblpY="1486"/>
        <w:tblW w:w="22265" w:type="dxa"/>
        <w:tblLook w:val="04A0" w:firstRow="1" w:lastRow="0" w:firstColumn="1" w:lastColumn="0" w:noHBand="0" w:noVBand="1"/>
      </w:tblPr>
      <w:tblGrid>
        <w:gridCol w:w="2660"/>
        <w:gridCol w:w="12899"/>
        <w:gridCol w:w="2552"/>
        <w:gridCol w:w="1339"/>
        <w:gridCol w:w="704"/>
        <w:gridCol w:w="703"/>
        <w:gridCol w:w="704"/>
        <w:gridCol w:w="704"/>
      </w:tblGrid>
      <w:tr w:rsidR="001D351E" w:rsidTr="00FA55DF">
        <w:trPr>
          <w:trHeight w:val="557"/>
        </w:trPr>
        <w:tc>
          <w:tcPr>
            <w:tcW w:w="15559" w:type="dxa"/>
            <w:gridSpan w:val="2"/>
            <w:shd w:val="clear" w:color="auto" w:fill="D99594" w:themeFill="accent2" w:themeFillTint="99"/>
            <w:vAlign w:val="center"/>
          </w:tcPr>
          <w:p w:rsidR="001D351E" w:rsidRPr="00647AB6" w:rsidRDefault="001D351E" w:rsidP="00C010C4">
            <w:pPr>
              <w:jc w:val="center"/>
              <w:rPr>
                <w:b/>
                <w:sz w:val="28"/>
                <w:szCs w:val="28"/>
              </w:rPr>
            </w:pPr>
            <w:r>
              <w:rPr>
                <w:b/>
                <w:sz w:val="28"/>
                <w:szCs w:val="28"/>
              </w:rPr>
              <w:t xml:space="preserve">NUMBER AND ALGEBRA </w:t>
            </w:r>
          </w:p>
        </w:tc>
        <w:tc>
          <w:tcPr>
            <w:tcW w:w="2552" w:type="dxa"/>
            <w:shd w:val="clear" w:color="auto" w:fill="D99594" w:themeFill="accent2" w:themeFillTint="99"/>
            <w:vAlign w:val="center"/>
          </w:tcPr>
          <w:p w:rsidR="001D351E" w:rsidRPr="00647AB6" w:rsidRDefault="001D351E" w:rsidP="00FA55DF">
            <w:pPr>
              <w:jc w:val="center"/>
              <w:rPr>
                <w:b/>
              </w:rPr>
            </w:pPr>
            <w:r>
              <w:rPr>
                <w:b/>
              </w:rPr>
              <w:t>TIMES</w:t>
            </w:r>
          </w:p>
        </w:tc>
        <w:tc>
          <w:tcPr>
            <w:tcW w:w="1339" w:type="dxa"/>
            <w:shd w:val="clear" w:color="auto" w:fill="D99594" w:themeFill="accent2" w:themeFillTint="99"/>
            <w:vAlign w:val="center"/>
          </w:tcPr>
          <w:p w:rsidR="001D351E" w:rsidRPr="00647AB6" w:rsidRDefault="001D351E" w:rsidP="00FA55DF">
            <w:pPr>
              <w:jc w:val="center"/>
              <w:rPr>
                <w:b/>
              </w:rPr>
            </w:pPr>
            <w:r>
              <w:rPr>
                <w:b/>
              </w:rPr>
              <w:t>SAM</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1</w:t>
            </w:r>
          </w:p>
        </w:tc>
        <w:tc>
          <w:tcPr>
            <w:tcW w:w="703"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2</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3</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4</w:t>
            </w:r>
          </w:p>
        </w:tc>
      </w:tr>
      <w:tr w:rsidR="001D351E" w:rsidTr="006B3DED">
        <w:trPr>
          <w:trHeight w:val="401"/>
        </w:trPr>
        <w:tc>
          <w:tcPr>
            <w:tcW w:w="2660" w:type="dxa"/>
            <w:vAlign w:val="center"/>
          </w:tcPr>
          <w:p w:rsidR="001D351E" w:rsidRPr="008117D3" w:rsidRDefault="00093C58" w:rsidP="00C010C4">
            <w:pPr>
              <w:jc w:val="center"/>
              <w:rPr>
                <w:sz w:val="20"/>
                <w:szCs w:val="20"/>
              </w:rPr>
            </w:pPr>
            <w:r>
              <w:rPr>
                <w:sz w:val="20"/>
                <w:szCs w:val="20"/>
              </w:rPr>
              <w:t>Number &amp; Place Value</w:t>
            </w:r>
          </w:p>
        </w:tc>
        <w:tc>
          <w:tcPr>
            <w:tcW w:w="12899" w:type="dxa"/>
            <w:vAlign w:val="center"/>
          </w:tcPr>
          <w:p w:rsidR="001D351E" w:rsidRPr="000C6253" w:rsidRDefault="00CF257F" w:rsidP="00DE55DA">
            <w:pPr>
              <w:rPr>
                <w:b/>
                <w:i/>
                <w:sz w:val="18"/>
                <w:szCs w:val="18"/>
              </w:rPr>
            </w:pPr>
            <w:hyperlink r:id="rId11" w:tooltip="Elaborations: 1) using the popular Korean counting game (sam-yuk-gu) for skip counting, 2) developing fluency with forwards and backwards counting in meaningful contexts such as circle games" w:history="1">
              <w:r w:rsidR="00093C58" w:rsidRPr="000C6253">
                <w:rPr>
                  <w:rStyle w:val="Hyperlink"/>
                  <w:rFonts w:ascii="Helvetica" w:hAnsi="Helvetica" w:cs="Helvetica"/>
                  <w:color w:val="auto"/>
                  <w:sz w:val="20"/>
                  <w:szCs w:val="20"/>
                  <w:u w:val="none"/>
                  <w:shd w:val="clear" w:color="auto" w:fill="FFFFFF"/>
                </w:rPr>
                <w:t>Develop confidence with number sequences to and from 100 by ones from any starting point. Skip count by twos, fives and tens starting from zero(ACMNA012)</w:t>
              </w:r>
            </w:hyperlink>
          </w:p>
        </w:tc>
        <w:tc>
          <w:tcPr>
            <w:tcW w:w="2552" w:type="dxa"/>
          </w:tcPr>
          <w:p w:rsidR="001D351E" w:rsidRDefault="00CF257F" w:rsidP="00C010C4">
            <w:pPr>
              <w:jc w:val="center"/>
            </w:pPr>
            <w:hyperlink r:id="rId12" w:history="1">
              <w:r w:rsidR="00A66DAF">
                <w:rPr>
                  <w:rStyle w:val="Hyperlink"/>
                  <w:rFonts w:cstheme="minorHAnsi"/>
                  <w:b/>
                  <w:i/>
                  <w:color w:val="00B050"/>
                  <w:sz w:val="18"/>
                  <w:szCs w:val="18"/>
                </w:rPr>
                <w:t>TIMESNA01</w:t>
              </w:r>
            </w:hyperlink>
          </w:p>
        </w:tc>
        <w:tc>
          <w:tcPr>
            <w:tcW w:w="1339" w:type="dxa"/>
          </w:tcPr>
          <w:p w:rsidR="001D351E" w:rsidRDefault="001D351E" w:rsidP="00C010C4">
            <w:pPr>
              <w:jc w:val="center"/>
            </w:pPr>
          </w:p>
        </w:tc>
        <w:sdt>
          <w:sdtPr>
            <w:id w:val="794259211"/>
            <w14:checkbox>
              <w14:checked w14:val="0"/>
              <w14:checkedState w14:val="2612" w14:font="MS Gothic"/>
              <w14:uncheckedState w14:val="2610" w14:font="MS Gothic"/>
            </w14:checkbox>
          </w:sdtPr>
          <w:sdtEndPr/>
          <w:sdtContent>
            <w:tc>
              <w:tcPr>
                <w:tcW w:w="704" w:type="dxa"/>
                <w:vAlign w:val="center"/>
              </w:tcPr>
              <w:p w:rsidR="001D351E" w:rsidRDefault="00523CF9" w:rsidP="00C010C4">
                <w:pPr>
                  <w:jc w:val="center"/>
                </w:pPr>
                <w:r>
                  <w:rPr>
                    <w:rFonts w:ascii="MS Gothic" w:eastAsia="MS Gothic" w:hAnsi="MS Gothic" w:hint="eastAsia"/>
                  </w:rPr>
                  <w:t>☐</w:t>
                </w:r>
              </w:p>
            </w:tc>
          </w:sdtContent>
        </w:sdt>
        <w:sdt>
          <w:sdtPr>
            <w:id w:val="1453510872"/>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28897424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590824765"/>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C010C4">
            <w:pPr>
              <w:jc w:val="center"/>
              <w:rPr>
                <w:sz w:val="20"/>
                <w:szCs w:val="20"/>
              </w:rPr>
            </w:pPr>
          </w:p>
        </w:tc>
        <w:tc>
          <w:tcPr>
            <w:tcW w:w="12899" w:type="dxa"/>
            <w:vAlign w:val="center"/>
          </w:tcPr>
          <w:p w:rsidR="001D351E" w:rsidRPr="000C6253" w:rsidRDefault="00CF257F" w:rsidP="00DE55DA">
            <w:pPr>
              <w:rPr>
                <w:sz w:val="18"/>
                <w:szCs w:val="18"/>
              </w:rPr>
            </w:pPr>
            <w:hyperlink r:id="rId13" w:tooltip="Elaborations: 1) modelling numbers with a range of material and images, 2) identifying numbers that are represented on a number line and placing numbers on a prepared number line" w:history="1">
              <w:r w:rsidR="00093C58" w:rsidRPr="000C6253">
                <w:rPr>
                  <w:rStyle w:val="Hyperlink"/>
                  <w:rFonts w:ascii="Helvetica" w:hAnsi="Helvetica" w:cs="Helvetica"/>
                  <w:color w:val="auto"/>
                  <w:sz w:val="20"/>
                  <w:szCs w:val="20"/>
                  <w:u w:val="none"/>
                  <w:shd w:val="clear" w:color="auto" w:fill="FFFFFF"/>
                </w:rPr>
                <w:t>Recognise, model, read, write and order numbers to at least 100. Locate these numbers on a number line (ACMNA013)</w:t>
              </w:r>
            </w:hyperlink>
          </w:p>
        </w:tc>
        <w:tc>
          <w:tcPr>
            <w:tcW w:w="2552" w:type="dxa"/>
          </w:tcPr>
          <w:p w:rsidR="001D351E" w:rsidRDefault="00CF257F" w:rsidP="00C010C4">
            <w:pPr>
              <w:jc w:val="center"/>
            </w:pPr>
            <w:hyperlink r:id="rId14" w:history="1">
              <w:r w:rsidR="00A66DAF">
                <w:rPr>
                  <w:rStyle w:val="Hyperlink"/>
                  <w:rFonts w:cstheme="minorHAnsi"/>
                  <w:b/>
                  <w:i/>
                  <w:color w:val="00B050"/>
                  <w:sz w:val="18"/>
                  <w:szCs w:val="18"/>
                </w:rPr>
                <w:t>TIMESNA01</w:t>
              </w:r>
            </w:hyperlink>
          </w:p>
        </w:tc>
        <w:tc>
          <w:tcPr>
            <w:tcW w:w="1339" w:type="dxa"/>
          </w:tcPr>
          <w:p w:rsidR="001D351E" w:rsidRDefault="001D351E" w:rsidP="00C010C4">
            <w:pPr>
              <w:jc w:val="center"/>
            </w:pPr>
          </w:p>
        </w:tc>
        <w:sdt>
          <w:sdtPr>
            <w:id w:val="-201344008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930553094"/>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18828837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55850487"/>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8117D3" w:rsidRDefault="001D351E" w:rsidP="00C010C4">
            <w:pPr>
              <w:jc w:val="center"/>
              <w:rPr>
                <w:sz w:val="20"/>
                <w:szCs w:val="20"/>
              </w:rPr>
            </w:pPr>
          </w:p>
        </w:tc>
        <w:tc>
          <w:tcPr>
            <w:tcW w:w="12899" w:type="dxa"/>
            <w:vAlign w:val="center"/>
          </w:tcPr>
          <w:p w:rsidR="001D351E" w:rsidRPr="000C6253" w:rsidRDefault="00CF257F" w:rsidP="00DE55DA">
            <w:pPr>
              <w:rPr>
                <w:b/>
                <w:i/>
                <w:sz w:val="18"/>
                <w:szCs w:val="18"/>
              </w:rPr>
            </w:pPr>
            <w:hyperlink r:id="rId15" w:tooltip="Elaborations: 1) understanding partitioning of numbers and the importance of grouping in tens, 2) understanding two-digit numbers as comprised of tens and ones/units" w:history="1">
              <w:r w:rsidR="00093C58" w:rsidRPr="000C6253">
                <w:rPr>
                  <w:rStyle w:val="Hyperlink"/>
                  <w:rFonts w:ascii="Helvetica" w:hAnsi="Helvetica" w:cs="Helvetica"/>
                  <w:color w:val="auto"/>
                  <w:sz w:val="20"/>
                  <w:szCs w:val="20"/>
                  <w:u w:val="none"/>
                  <w:shd w:val="clear" w:color="auto" w:fill="FFFFFF"/>
                </w:rPr>
                <w:t>Count collections to 100 by partitioning numbers using place value (ACMNA014)</w:t>
              </w:r>
            </w:hyperlink>
          </w:p>
        </w:tc>
        <w:tc>
          <w:tcPr>
            <w:tcW w:w="2552" w:type="dxa"/>
          </w:tcPr>
          <w:p w:rsidR="001D351E" w:rsidRDefault="00CF257F" w:rsidP="00C010C4">
            <w:pPr>
              <w:jc w:val="center"/>
            </w:pPr>
            <w:hyperlink r:id="rId16" w:history="1">
              <w:r w:rsidR="00A66DAF">
                <w:rPr>
                  <w:rStyle w:val="Hyperlink"/>
                  <w:rFonts w:cstheme="minorHAnsi"/>
                  <w:b/>
                  <w:i/>
                  <w:color w:val="00B050"/>
                  <w:sz w:val="18"/>
                  <w:szCs w:val="18"/>
                </w:rPr>
                <w:t>TIMESNA01</w:t>
              </w:r>
            </w:hyperlink>
          </w:p>
        </w:tc>
        <w:tc>
          <w:tcPr>
            <w:tcW w:w="1339" w:type="dxa"/>
          </w:tcPr>
          <w:p w:rsidR="001D351E" w:rsidRDefault="001D351E" w:rsidP="00C010C4">
            <w:pPr>
              <w:jc w:val="center"/>
            </w:pPr>
          </w:p>
        </w:tc>
        <w:sdt>
          <w:sdtPr>
            <w:id w:val="-161558886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905877798"/>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82435638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5692013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8117D3" w:rsidRDefault="001D351E" w:rsidP="00C010C4">
            <w:pPr>
              <w:jc w:val="center"/>
              <w:rPr>
                <w:sz w:val="20"/>
                <w:szCs w:val="20"/>
              </w:rPr>
            </w:pPr>
          </w:p>
        </w:tc>
        <w:tc>
          <w:tcPr>
            <w:tcW w:w="12899" w:type="dxa"/>
            <w:vAlign w:val="center"/>
          </w:tcPr>
          <w:p w:rsidR="001D351E" w:rsidRPr="000C6253" w:rsidRDefault="00CF257F" w:rsidP="00DE55DA">
            <w:pPr>
              <w:rPr>
                <w:sz w:val="18"/>
                <w:szCs w:val="18"/>
              </w:rPr>
            </w:pPr>
            <w:hyperlink r:id="rId17" w:tooltip="Elaborations: developing a range of mental strategies for addition and subtraction problems" w:history="1">
              <w:r w:rsidR="00093C58" w:rsidRPr="000C6253">
                <w:rPr>
                  <w:rStyle w:val="Hyperlink"/>
                  <w:rFonts w:ascii="Helvetica" w:hAnsi="Helvetica" w:cs="Helvetica"/>
                  <w:color w:val="auto"/>
                  <w:sz w:val="20"/>
                  <w:szCs w:val="20"/>
                  <w:u w:val="none"/>
                  <w:shd w:val="clear" w:color="auto" w:fill="FFFFFF"/>
                </w:rPr>
                <w:t>Represent and solve simple addition and subtraction problems using a range of strategies including counting on, partitioning and rearranging parts (ACMNA015)</w:t>
              </w:r>
            </w:hyperlink>
          </w:p>
        </w:tc>
        <w:bookmarkStart w:id="0" w:name="_GoBack"/>
        <w:tc>
          <w:tcPr>
            <w:tcW w:w="2552" w:type="dxa"/>
          </w:tcPr>
          <w:p w:rsidR="001D351E" w:rsidRDefault="00CF257F" w:rsidP="00C010C4">
            <w:pPr>
              <w:jc w:val="center"/>
            </w:pPr>
            <w:r>
              <w:fldChar w:fldCharType="begin"/>
            </w:r>
            <w:r w:rsidR="00F14FB9">
              <w:instrText>HYPERLINK "http://amsi.org.au/teacher_modules/Addition_and_subtraction.html"</w:instrText>
            </w:r>
            <w:r>
              <w:fldChar w:fldCharType="separate"/>
            </w:r>
            <w:r w:rsidR="00A66DAF">
              <w:rPr>
                <w:rStyle w:val="Hyperlink"/>
                <w:rFonts w:cstheme="minorHAnsi"/>
                <w:b/>
                <w:i/>
                <w:color w:val="00B050"/>
                <w:sz w:val="18"/>
                <w:szCs w:val="18"/>
              </w:rPr>
              <w:t>TIMESNAO2</w:t>
            </w:r>
            <w:r>
              <w:rPr>
                <w:rStyle w:val="Hyperlink"/>
                <w:rFonts w:cstheme="minorHAnsi"/>
                <w:b/>
                <w:i/>
                <w:color w:val="00B050"/>
                <w:sz w:val="18"/>
                <w:szCs w:val="18"/>
              </w:rPr>
              <w:fldChar w:fldCharType="end"/>
            </w:r>
            <w:bookmarkEnd w:id="0"/>
          </w:p>
        </w:tc>
        <w:tc>
          <w:tcPr>
            <w:tcW w:w="1339" w:type="dxa"/>
          </w:tcPr>
          <w:p w:rsidR="001D351E" w:rsidRDefault="001D351E" w:rsidP="00C010C4">
            <w:pPr>
              <w:jc w:val="center"/>
            </w:pPr>
          </w:p>
        </w:tc>
        <w:sdt>
          <w:sdtPr>
            <w:id w:val="-1446537649"/>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284386462"/>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84027224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0645795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8117D3" w:rsidRDefault="00093C58" w:rsidP="00C010C4">
            <w:pPr>
              <w:jc w:val="center"/>
              <w:rPr>
                <w:sz w:val="20"/>
                <w:szCs w:val="20"/>
              </w:rPr>
            </w:pPr>
            <w:r>
              <w:rPr>
                <w:sz w:val="20"/>
                <w:szCs w:val="20"/>
              </w:rPr>
              <w:t>Fractions &amp; Decimals</w:t>
            </w:r>
          </w:p>
        </w:tc>
        <w:tc>
          <w:tcPr>
            <w:tcW w:w="12899" w:type="dxa"/>
            <w:vAlign w:val="center"/>
          </w:tcPr>
          <w:p w:rsidR="001D351E" w:rsidRPr="000C6253" w:rsidRDefault="00CF257F" w:rsidP="00DE55DA">
            <w:pPr>
              <w:rPr>
                <w:rFonts w:eastAsia="HelveticaNeueLTStd-Lt-Identity-" w:cstheme="minorHAnsi"/>
                <w:b/>
                <w:i/>
                <w:sz w:val="18"/>
                <w:szCs w:val="18"/>
              </w:rPr>
            </w:pPr>
            <w:hyperlink r:id="rId18" w:tooltip="Elaborations: 1) sharing a collection of readily available materials into two equal portions, 2) splitting an object into two equal pieces and describing how the pieces are equal" w:history="1">
              <w:r w:rsidR="00093C58" w:rsidRPr="000C6253">
                <w:rPr>
                  <w:rStyle w:val="Hyperlink"/>
                  <w:rFonts w:ascii="Helvetica" w:hAnsi="Helvetica" w:cs="Helvetica"/>
                  <w:color w:val="auto"/>
                  <w:sz w:val="20"/>
                  <w:szCs w:val="20"/>
                  <w:u w:val="none"/>
                  <w:shd w:val="clear" w:color="auto" w:fill="FFFFFF"/>
                </w:rPr>
                <w:t>Recognise and describe one-half as one of two equal parts of a whole. (ACMNA016)</w:t>
              </w:r>
            </w:hyperlink>
          </w:p>
        </w:tc>
        <w:tc>
          <w:tcPr>
            <w:tcW w:w="2552" w:type="dxa"/>
          </w:tcPr>
          <w:p w:rsidR="001D351E" w:rsidRDefault="001D351E" w:rsidP="00C010C4">
            <w:pPr>
              <w:jc w:val="center"/>
            </w:pPr>
          </w:p>
        </w:tc>
        <w:tc>
          <w:tcPr>
            <w:tcW w:w="1339" w:type="dxa"/>
          </w:tcPr>
          <w:p w:rsidR="001D351E" w:rsidRDefault="001D351E" w:rsidP="00C010C4">
            <w:pPr>
              <w:jc w:val="center"/>
            </w:pPr>
          </w:p>
        </w:tc>
        <w:sdt>
          <w:sdtPr>
            <w:id w:val="-78612065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045890226"/>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98137566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20987627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093C58" w:rsidP="00C010C4">
            <w:pPr>
              <w:jc w:val="center"/>
              <w:rPr>
                <w:sz w:val="20"/>
                <w:szCs w:val="20"/>
              </w:rPr>
            </w:pPr>
            <w:r>
              <w:rPr>
                <w:sz w:val="20"/>
                <w:szCs w:val="20"/>
              </w:rPr>
              <w:t>Money &amp; Financial Maths</w:t>
            </w:r>
          </w:p>
        </w:tc>
        <w:tc>
          <w:tcPr>
            <w:tcW w:w="12899" w:type="dxa"/>
            <w:vAlign w:val="center"/>
          </w:tcPr>
          <w:p w:rsidR="001D351E" w:rsidRPr="000C6253" w:rsidRDefault="00CF257F" w:rsidP="00DE55DA">
            <w:pPr>
              <w:rPr>
                <w:rFonts w:eastAsia="HelveticaNeueLTStd-Lt-Identity-" w:cstheme="minorHAnsi"/>
                <w:b/>
                <w:i/>
                <w:sz w:val="18"/>
                <w:szCs w:val="18"/>
              </w:rPr>
            </w:pPr>
            <w:hyperlink r:id="rId19" w:tooltip="Elaborations: 1) showing that coins are different in other countries by comparing Asian coins to Australian coins, 2) understand that the value of Australian coins is not related to size, 3) describe features of coins that make it possible to identify them" w:history="1">
              <w:r w:rsidR="00093C58" w:rsidRPr="000C6253">
                <w:rPr>
                  <w:rStyle w:val="Hyperlink"/>
                  <w:rFonts w:ascii="Helvetica" w:hAnsi="Helvetica" w:cs="Helvetica"/>
                  <w:color w:val="auto"/>
                  <w:sz w:val="20"/>
                  <w:szCs w:val="20"/>
                  <w:u w:val="none"/>
                  <w:shd w:val="clear" w:color="auto" w:fill="FFFFFF"/>
                </w:rPr>
                <w:t>Recognise, describe and order Australian coins according to their value (ACMNA017)</w:t>
              </w:r>
            </w:hyperlink>
          </w:p>
        </w:tc>
        <w:tc>
          <w:tcPr>
            <w:tcW w:w="2552" w:type="dxa"/>
          </w:tcPr>
          <w:p w:rsidR="001D351E" w:rsidRDefault="001D351E" w:rsidP="00C010C4">
            <w:pPr>
              <w:jc w:val="center"/>
            </w:pPr>
          </w:p>
        </w:tc>
        <w:tc>
          <w:tcPr>
            <w:tcW w:w="1339" w:type="dxa"/>
          </w:tcPr>
          <w:p w:rsidR="001D351E" w:rsidRDefault="001D351E" w:rsidP="00C010C4">
            <w:pPr>
              <w:jc w:val="center"/>
            </w:pPr>
          </w:p>
        </w:tc>
        <w:sdt>
          <w:sdtPr>
            <w:id w:val="-142449548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041660604"/>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41200277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1575920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093C58" w:rsidP="00C010C4">
            <w:pPr>
              <w:jc w:val="center"/>
              <w:rPr>
                <w:sz w:val="20"/>
                <w:szCs w:val="20"/>
              </w:rPr>
            </w:pPr>
            <w:r>
              <w:rPr>
                <w:sz w:val="20"/>
                <w:szCs w:val="20"/>
              </w:rPr>
              <w:t>Patterns &amp; Algebra</w:t>
            </w:r>
          </w:p>
        </w:tc>
        <w:tc>
          <w:tcPr>
            <w:tcW w:w="12899" w:type="dxa"/>
            <w:vAlign w:val="center"/>
          </w:tcPr>
          <w:p w:rsidR="001D351E" w:rsidRPr="000C6253" w:rsidRDefault="00CF257F" w:rsidP="00DE55DA">
            <w:pPr>
              <w:rPr>
                <w:rFonts w:eastAsia="HelveticaNeueLTStd-Lt-Identity-" w:cstheme="minorHAnsi"/>
                <w:b/>
                <w:i/>
                <w:sz w:val="18"/>
                <w:szCs w:val="18"/>
              </w:rPr>
            </w:pPr>
            <w:hyperlink r:id="rId20" w:tooltip="Elaborations: 1) using place-value patterns beyond the teens to generalise the number sequence and predict the next number, 2) investigating patterns in the number system, such as the occurrence of a particular digit in the numbers to 100" w:history="1">
              <w:r w:rsidR="00093C58" w:rsidRPr="000C6253">
                <w:rPr>
                  <w:rStyle w:val="Hyperlink"/>
                  <w:rFonts w:ascii="Helvetica" w:hAnsi="Helvetica" w:cs="Helvetica"/>
                  <w:color w:val="auto"/>
                  <w:sz w:val="20"/>
                  <w:szCs w:val="20"/>
                  <w:u w:val="none"/>
                  <w:shd w:val="clear" w:color="auto" w:fill="FFFFFF"/>
                </w:rPr>
                <w:t>Investigate and describe number patterns formed by skip counting and patterns with objects (ACMNA018)</w:t>
              </w:r>
            </w:hyperlink>
          </w:p>
        </w:tc>
        <w:tc>
          <w:tcPr>
            <w:tcW w:w="2552" w:type="dxa"/>
          </w:tcPr>
          <w:p w:rsidR="001D351E" w:rsidRDefault="001D351E" w:rsidP="001D351E">
            <w:pPr>
              <w:jc w:val="center"/>
            </w:pPr>
          </w:p>
        </w:tc>
        <w:tc>
          <w:tcPr>
            <w:tcW w:w="1339" w:type="dxa"/>
          </w:tcPr>
          <w:p w:rsidR="001D351E" w:rsidRDefault="001D351E" w:rsidP="00C010C4">
            <w:pPr>
              <w:jc w:val="center"/>
            </w:pPr>
          </w:p>
        </w:tc>
        <w:sdt>
          <w:sdtPr>
            <w:id w:val="-725370886"/>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569955827"/>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5735565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527993569"/>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rPr>
          <w:trHeight w:val="280"/>
        </w:trPr>
        <w:tc>
          <w:tcPr>
            <w:tcW w:w="15559" w:type="dxa"/>
            <w:gridSpan w:val="2"/>
            <w:shd w:val="clear" w:color="auto" w:fill="D99594" w:themeFill="accent2" w:themeFillTint="99"/>
            <w:vAlign w:val="center"/>
          </w:tcPr>
          <w:p w:rsidR="001D351E" w:rsidRPr="008117D3" w:rsidRDefault="001D351E" w:rsidP="006A023E">
            <w:pPr>
              <w:jc w:val="center"/>
              <w:rPr>
                <w:b/>
                <w:sz w:val="28"/>
                <w:szCs w:val="28"/>
              </w:rPr>
            </w:pPr>
            <w:r>
              <w:rPr>
                <w:b/>
                <w:sz w:val="28"/>
                <w:szCs w:val="28"/>
              </w:rPr>
              <w:t>MEASUREMENT AND GEOMETRY</w:t>
            </w:r>
          </w:p>
        </w:tc>
        <w:tc>
          <w:tcPr>
            <w:tcW w:w="2552" w:type="dxa"/>
            <w:shd w:val="clear" w:color="auto" w:fill="D99594" w:themeFill="accent2" w:themeFillTint="99"/>
          </w:tcPr>
          <w:p w:rsidR="001D351E" w:rsidRDefault="001D351E" w:rsidP="00C010C4">
            <w:pPr>
              <w:jc w:val="center"/>
              <w:rPr>
                <w:b/>
              </w:rPr>
            </w:pPr>
          </w:p>
        </w:tc>
        <w:tc>
          <w:tcPr>
            <w:tcW w:w="1339" w:type="dxa"/>
            <w:shd w:val="clear" w:color="auto" w:fill="D99594" w:themeFill="accent2" w:themeFillTint="99"/>
          </w:tcPr>
          <w:p w:rsidR="001D351E" w:rsidRDefault="001D351E" w:rsidP="00C010C4">
            <w:pPr>
              <w:jc w:val="center"/>
              <w:rPr>
                <w:b/>
              </w:rPr>
            </w:pPr>
          </w:p>
        </w:tc>
        <w:tc>
          <w:tcPr>
            <w:tcW w:w="704" w:type="dxa"/>
            <w:shd w:val="clear" w:color="auto" w:fill="D99594" w:themeFill="accent2" w:themeFillTint="99"/>
            <w:vAlign w:val="center"/>
          </w:tcPr>
          <w:p w:rsidR="001D351E" w:rsidRPr="00647AB6" w:rsidRDefault="001D351E" w:rsidP="00C010C4">
            <w:pPr>
              <w:jc w:val="center"/>
              <w:rPr>
                <w:b/>
              </w:rPr>
            </w:pPr>
          </w:p>
        </w:tc>
        <w:tc>
          <w:tcPr>
            <w:tcW w:w="703" w:type="dxa"/>
            <w:shd w:val="clear" w:color="auto" w:fill="D99594" w:themeFill="accent2" w:themeFillTint="99"/>
            <w:vAlign w:val="center"/>
          </w:tcPr>
          <w:p w:rsidR="001D351E" w:rsidRPr="00647AB6" w:rsidRDefault="001D351E" w:rsidP="00C010C4">
            <w:pPr>
              <w:jc w:val="center"/>
              <w:rPr>
                <w:b/>
              </w:rPr>
            </w:pPr>
          </w:p>
        </w:tc>
        <w:tc>
          <w:tcPr>
            <w:tcW w:w="704" w:type="dxa"/>
            <w:shd w:val="clear" w:color="auto" w:fill="D99594" w:themeFill="accent2" w:themeFillTint="99"/>
            <w:vAlign w:val="center"/>
          </w:tcPr>
          <w:p w:rsidR="001D351E" w:rsidRPr="00647AB6" w:rsidRDefault="001D351E" w:rsidP="00C010C4">
            <w:pPr>
              <w:jc w:val="center"/>
              <w:rPr>
                <w:b/>
              </w:rPr>
            </w:pPr>
          </w:p>
        </w:tc>
        <w:tc>
          <w:tcPr>
            <w:tcW w:w="704" w:type="dxa"/>
            <w:shd w:val="clear" w:color="auto" w:fill="D99594" w:themeFill="accent2" w:themeFillTint="99"/>
            <w:vAlign w:val="center"/>
          </w:tcPr>
          <w:p w:rsidR="001D351E" w:rsidRPr="00647AB6" w:rsidRDefault="001D351E" w:rsidP="00C010C4">
            <w:pPr>
              <w:jc w:val="center"/>
              <w:rPr>
                <w:b/>
              </w:rPr>
            </w:pPr>
          </w:p>
        </w:tc>
      </w:tr>
      <w:tr w:rsidR="001D351E" w:rsidTr="006B3DED">
        <w:tc>
          <w:tcPr>
            <w:tcW w:w="2660" w:type="dxa"/>
            <w:vAlign w:val="center"/>
          </w:tcPr>
          <w:p w:rsidR="001D351E" w:rsidRPr="00647AB6" w:rsidRDefault="001A02B0" w:rsidP="00C010C4">
            <w:pPr>
              <w:jc w:val="center"/>
              <w:rPr>
                <w:sz w:val="20"/>
                <w:szCs w:val="20"/>
              </w:rPr>
            </w:pPr>
            <w:r>
              <w:rPr>
                <w:sz w:val="20"/>
                <w:szCs w:val="20"/>
              </w:rPr>
              <w:t>Using Units of Measurement</w:t>
            </w:r>
          </w:p>
        </w:tc>
        <w:tc>
          <w:tcPr>
            <w:tcW w:w="12899" w:type="dxa"/>
            <w:vAlign w:val="center"/>
          </w:tcPr>
          <w:p w:rsidR="001A02B0" w:rsidRPr="00120A84" w:rsidRDefault="00CF257F" w:rsidP="00DE55DA">
            <w:pPr>
              <w:rPr>
                <w:rFonts w:ascii="Helvetica" w:hAnsi="Helvetica" w:cs="Helvetica"/>
                <w:sz w:val="20"/>
                <w:szCs w:val="20"/>
                <w:shd w:val="clear" w:color="auto" w:fill="FFFFFF"/>
              </w:rPr>
            </w:pPr>
            <w:hyperlink r:id="rId21" w:tooltip="Elaborations: understanding that in order to compare objects, the unit of measurement must be the same size" w:history="1">
              <w:r w:rsidR="001A02B0" w:rsidRPr="00120A84">
                <w:rPr>
                  <w:rStyle w:val="Hyperlink"/>
                  <w:rFonts w:ascii="Helvetica" w:hAnsi="Helvetica" w:cs="Helvetica"/>
                  <w:color w:val="auto"/>
                  <w:sz w:val="20"/>
                  <w:szCs w:val="20"/>
                  <w:u w:val="none"/>
                  <w:shd w:val="clear" w:color="auto" w:fill="FFFFFF"/>
                </w:rPr>
                <w:t>Measure and compare the lengths and capacities of pairs of objects using uniform informal units (ACMMG019)</w:t>
              </w:r>
            </w:hyperlink>
          </w:p>
        </w:tc>
        <w:tc>
          <w:tcPr>
            <w:tcW w:w="2552" w:type="dxa"/>
          </w:tcPr>
          <w:p w:rsidR="001D351E" w:rsidRDefault="001D351E" w:rsidP="00C010C4">
            <w:pPr>
              <w:jc w:val="center"/>
            </w:pPr>
          </w:p>
        </w:tc>
        <w:tc>
          <w:tcPr>
            <w:tcW w:w="1339" w:type="dxa"/>
          </w:tcPr>
          <w:p w:rsidR="001D351E" w:rsidRDefault="001D351E" w:rsidP="00C010C4">
            <w:pPr>
              <w:jc w:val="center"/>
            </w:pPr>
          </w:p>
        </w:tc>
        <w:sdt>
          <w:sdtPr>
            <w:id w:val="-91663241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950553281"/>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207807943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61015334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647AB6" w:rsidRDefault="001D351E" w:rsidP="00C010C4">
            <w:pPr>
              <w:jc w:val="center"/>
              <w:rPr>
                <w:sz w:val="20"/>
                <w:szCs w:val="20"/>
              </w:rPr>
            </w:pPr>
          </w:p>
        </w:tc>
        <w:tc>
          <w:tcPr>
            <w:tcW w:w="12899" w:type="dxa"/>
            <w:vAlign w:val="center"/>
          </w:tcPr>
          <w:p w:rsidR="001D351E" w:rsidRPr="00120A84" w:rsidRDefault="00CF257F" w:rsidP="00DE55DA">
            <w:pPr>
              <w:rPr>
                <w:rFonts w:ascii="Calibri" w:eastAsia="Calibri" w:hAnsi="Calibri" w:cs="Times New Roman"/>
                <w:sz w:val="18"/>
                <w:szCs w:val="18"/>
                <w:lang w:val="en-US"/>
              </w:rPr>
            </w:pPr>
            <w:hyperlink r:id="rId22" w:tooltip="Elaborations: reading time on analogue and digital clocks and observing the characteristics of half-hour times" w:history="1">
              <w:r w:rsidR="001A02B0" w:rsidRPr="00120A84">
                <w:rPr>
                  <w:rStyle w:val="Hyperlink"/>
                  <w:rFonts w:ascii="Helvetica" w:hAnsi="Helvetica" w:cs="Helvetica"/>
                  <w:color w:val="auto"/>
                  <w:sz w:val="20"/>
                  <w:szCs w:val="20"/>
                  <w:u w:val="none"/>
                  <w:shd w:val="clear" w:color="auto" w:fill="FFFFFF"/>
                </w:rPr>
                <w:t>Tell time to the half-hour (ACMMG020)</w:t>
              </w:r>
            </w:hyperlink>
          </w:p>
        </w:tc>
        <w:tc>
          <w:tcPr>
            <w:tcW w:w="2552" w:type="dxa"/>
          </w:tcPr>
          <w:p w:rsidR="001D351E" w:rsidRDefault="00CF257F" w:rsidP="00C010C4">
            <w:pPr>
              <w:jc w:val="center"/>
            </w:pPr>
            <w:hyperlink r:id="rId23" w:history="1">
              <w:r w:rsidR="00A66DAF">
                <w:rPr>
                  <w:rStyle w:val="Hyperlink"/>
                  <w:rFonts w:cstheme="minorHAnsi"/>
                  <w:b/>
                  <w:i/>
                  <w:color w:val="00B050"/>
                  <w:sz w:val="18"/>
                  <w:szCs w:val="18"/>
                </w:rPr>
                <w:t>TIMESMG03</w:t>
              </w:r>
            </w:hyperlink>
          </w:p>
        </w:tc>
        <w:tc>
          <w:tcPr>
            <w:tcW w:w="1339" w:type="dxa"/>
          </w:tcPr>
          <w:p w:rsidR="001D351E" w:rsidRDefault="001D351E" w:rsidP="00C010C4">
            <w:pPr>
              <w:jc w:val="center"/>
            </w:pPr>
          </w:p>
        </w:tc>
        <w:sdt>
          <w:sdtPr>
            <w:id w:val="251628119"/>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901097371"/>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80908592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c>
          <w:tcPr>
            <w:tcW w:w="704" w:type="dxa"/>
            <w:vAlign w:val="center"/>
          </w:tcPr>
          <w:p w:rsidR="001D351E" w:rsidRDefault="00CF257F" w:rsidP="00C010C4">
            <w:pPr>
              <w:jc w:val="center"/>
            </w:pPr>
            <w:sdt>
              <w:sdtPr>
                <w:id w:val="2012030301"/>
                <w14:checkbox>
                  <w14:checked w14:val="0"/>
                  <w14:checkedState w14:val="2612" w14:font="MS Gothic"/>
                  <w14:uncheckedState w14:val="2610" w14:font="MS Gothic"/>
                </w14:checkbox>
              </w:sdtPr>
              <w:sdtEndPr/>
              <w:sdtContent>
                <w:r w:rsidR="001D351E">
                  <w:rPr>
                    <w:rFonts w:ascii="MS Gothic" w:eastAsia="MS Gothic" w:hAnsi="MS Gothic" w:hint="eastAsia"/>
                  </w:rPr>
                  <w:t>☐</w:t>
                </w:r>
              </w:sdtContent>
            </w:sdt>
          </w:p>
        </w:tc>
      </w:tr>
      <w:tr w:rsidR="001D351E" w:rsidTr="006B3DED">
        <w:tc>
          <w:tcPr>
            <w:tcW w:w="2660" w:type="dxa"/>
            <w:vAlign w:val="center"/>
          </w:tcPr>
          <w:p w:rsidR="001D351E" w:rsidRPr="00647AB6" w:rsidRDefault="001D351E" w:rsidP="006A023E">
            <w:pPr>
              <w:jc w:val="center"/>
              <w:rPr>
                <w:sz w:val="20"/>
                <w:szCs w:val="20"/>
              </w:rPr>
            </w:pPr>
          </w:p>
        </w:tc>
        <w:tc>
          <w:tcPr>
            <w:tcW w:w="12899" w:type="dxa"/>
            <w:vAlign w:val="center"/>
          </w:tcPr>
          <w:p w:rsidR="001D351E" w:rsidRPr="00120A84" w:rsidRDefault="00CF257F" w:rsidP="00DE55DA">
            <w:pPr>
              <w:rPr>
                <w:sz w:val="18"/>
                <w:szCs w:val="18"/>
              </w:rPr>
            </w:pPr>
            <w:hyperlink r:id="rId24" w:tooltip="Elaborations: describing the duration of familiar situations such as ‘how long is it until we next come to school?’" w:history="1">
              <w:r w:rsidR="001A02B0" w:rsidRPr="00120A84">
                <w:rPr>
                  <w:rStyle w:val="Hyperlink"/>
                  <w:rFonts w:ascii="Helvetica" w:hAnsi="Helvetica" w:cs="Helvetica"/>
                  <w:color w:val="auto"/>
                  <w:sz w:val="20"/>
                  <w:szCs w:val="20"/>
                  <w:u w:val="none"/>
                  <w:shd w:val="clear" w:color="auto" w:fill="FFFFFF"/>
                </w:rPr>
                <w:t>Describe duration using months, weeks, days and hours (ACMMG021)</w:t>
              </w:r>
            </w:hyperlink>
          </w:p>
        </w:tc>
        <w:tc>
          <w:tcPr>
            <w:tcW w:w="2552" w:type="dxa"/>
          </w:tcPr>
          <w:p w:rsidR="001D351E" w:rsidRDefault="00CF257F" w:rsidP="006A023E">
            <w:pPr>
              <w:jc w:val="center"/>
            </w:pPr>
            <w:hyperlink r:id="rId25" w:history="1">
              <w:r w:rsidR="00A66DAF">
                <w:rPr>
                  <w:rStyle w:val="Hyperlink"/>
                  <w:rFonts w:cstheme="minorHAnsi"/>
                  <w:b/>
                  <w:i/>
                  <w:color w:val="00B050"/>
                  <w:sz w:val="18"/>
                  <w:szCs w:val="18"/>
                </w:rPr>
                <w:t>TIMESMG03</w:t>
              </w:r>
            </w:hyperlink>
          </w:p>
        </w:tc>
        <w:tc>
          <w:tcPr>
            <w:tcW w:w="1339" w:type="dxa"/>
          </w:tcPr>
          <w:p w:rsidR="001D351E" w:rsidRDefault="001D351E" w:rsidP="006A023E">
            <w:pPr>
              <w:jc w:val="center"/>
            </w:pPr>
          </w:p>
        </w:tc>
        <w:sdt>
          <w:sdtPr>
            <w:id w:val="-776715985"/>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sdt>
          <w:sdtPr>
            <w:id w:val="-396283430"/>
            <w14:checkbox>
              <w14:checked w14:val="0"/>
              <w14:checkedState w14:val="2612" w14:font="MS Gothic"/>
              <w14:uncheckedState w14:val="2610" w14:font="MS Gothic"/>
            </w14:checkbox>
          </w:sdtPr>
          <w:sdtEndPr/>
          <w:sdtContent>
            <w:tc>
              <w:tcPr>
                <w:tcW w:w="703" w:type="dxa"/>
                <w:vAlign w:val="center"/>
              </w:tcPr>
              <w:p w:rsidR="001D351E" w:rsidRDefault="001D351E" w:rsidP="006A023E">
                <w:pPr>
                  <w:jc w:val="center"/>
                </w:pPr>
                <w:r>
                  <w:rPr>
                    <w:rFonts w:ascii="MS Gothic" w:eastAsia="MS Gothic" w:hAnsi="MS Gothic" w:hint="eastAsia"/>
                  </w:rPr>
                  <w:t>☐</w:t>
                </w:r>
              </w:p>
            </w:tc>
          </w:sdtContent>
        </w:sdt>
        <w:sdt>
          <w:sdtPr>
            <w:id w:val="-1073818084"/>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sdt>
          <w:sdtPr>
            <w:id w:val="-625087121"/>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tr>
      <w:tr w:rsidR="001D351E" w:rsidTr="006B3DED">
        <w:tc>
          <w:tcPr>
            <w:tcW w:w="2660" w:type="dxa"/>
            <w:vAlign w:val="center"/>
          </w:tcPr>
          <w:p w:rsidR="001D351E" w:rsidRPr="00647AB6" w:rsidRDefault="001A02B0" w:rsidP="006A023E">
            <w:pPr>
              <w:jc w:val="center"/>
              <w:rPr>
                <w:sz w:val="20"/>
                <w:szCs w:val="20"/>
              </w:rPr>
            </w:pPr>
            <w:r>
              <w:rPr>
                <w:sz w:val="20"/>
                <w:szCs w:val="20"/>
              </w:rPr>
              <w:t>Shape</w:t>
            </w:r>
          </w:p>
        </w:tc>
        <w:tc>
          <w:tcPr>
            <w:tcW w:w="12899" w:type="dxa"/>
            <w:vAlign w:val="center"/>
          </w:tcPr>
          <w:p w:rsidR="001D351E" w:rsidRPr="00120A84" w:rsidRDefault="00CF257F" w:rsidP="00DE55DA">
            <w:pPr>
              <w:rPr>
                <w:sz w:val="18"/>
                <w:szCs w:val="18"/>
              </w:rPr>
            </w:pPr>
            <w:hyperlink r:id="rId26" w:tooltip="Elaborations: focusing on geometric features and describing shapes and objects using everyday words such as 'corners', 'edges' and 'faces'" w:history="1">
              <w:r w:rsidR="001A02B0" w:rsidRPr="00120A84">
                <w:rPr>
                  <w:rStyle w:val="Hyperlink"/>
                  <w:rFonts w:ascii="Helvetica" w:hAnsi="Helvetica" w:cs="Helvetica"/>
                  <w:color w:val="auto"/>
                  <w:sz w:val="20"/>
                  <w:szCs w:val="20"/>
                  <w:u w:val="none"/>
                  <w:shd w:val="clear" w:color="auto" w:fill="FFFFFF"/>
                </w:rPr>
                <w:t>Recognise and classify familiar two-dimensional shapes and three-dimensional objects using obvious features (ACMMG022)</w:t>
              </w:r>
            </w:hyperlink>
          </w:p>
        </w:tc>
        <w:tc>
          <w:tcPr>
            <w:tcW w:w="2552" w:type="dxa"/>
          </w:tcPr>
          <w:p w:rsidR="001D351E" w:rsidRDefault="001D351E" w:rsidP="006A023E">
            <w:pPr>
              <w:jc w:val="center"/>
            </w:pPr>
          </w:p>
        </w:tc>
        <w:tc>
          <w:tcPr>
            <w:tcW w:w="1339" w:type="dxa"/>
          </w:tcPr>
          <w:p w:rsidR="001D351E" w:rsidRDefault="001D351E" w:rsidP="006A023E">
            <w:pPr>
              <w:jc w:val="center"/>
            </w:pPr>
          </w:p>
        </w:tc>
        <w:sdt>
          <w:sdtPr>
            <w:id w:val="1623727846"/>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sdt>
          <w:sdtPr>
            <w:id w:val="1009720678"/>
            <w14:checkbox>
              <w14:checked w14:val="0"/>
              <w14:checkedState w14:val="2612" w14:font="MS Gothic"/>
              <w14:uncheckedState w14:val="2610" w14:font="MS Gothic"/>
            </w14:checkbox>
          </w:sdtPr>
          <w:sdtEndPr/>
          <w:sdtContent>
            <w:tc>
              <w:tcPr>
                <w:tcW w:w="703" w:type="dxa"/>
                <w:vAlign w:val="center"/>
              </w:tcPr>
              <w:p w:rsidR="001D351E" w:rsidRDefault="001D351E" w:rsidP="006A023E">
                <w:pPr>
                  <w:jc w:val="center"/>
                </w:pPr>
                <w:r>
                  <w:rPr>
                    <w:rFonts w:ascii="MS Gothic" w:eastAsia="MS Gothic" w:hAnsi="MS Gothic" w:hint="eastAsia"/>
                  </w:rPr>
                  <w:t>☐</w:t>
                </w:r>
              </w:p>
            </w:tc>
          </w:sdtContent>
        </w:sdt>
        <w:sdt>
          <w:sdtPr>
            <w:id w:val="-2074812816"/>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sdt>
          <w:sdtPr>
            <w:id w:val="-708948496"/>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tr>
      <w:tr w:rsidR="001D351E" w:rsidTr="006B3DED">
        <w:tc>
          <w:tcPr>
            <w:tcW w:w="2660" w:type="dxa"/>
            <w:vAlign w:val="center"/>
          </w:tcPr>
          <w:p w:rsidR="001D351E" w:rsidRPr="00647AB6" w:rsidRDefault="001A02B0" w:rsidP="00477525">
            <w:pPr>
              <w:jc w:val="center"/>
              <w:rPr>
                <w:sz w:val="20"/>
                <w:szCs w:val="20"/>
              </w:rPr>
            </w:pPr>
            <w:r>
              <w:rPr>
                <w:sz w:val="20"/>
                <w:szCs w:val="20"/>
              </w:rPr>
              <w:t>Location &amp; Transformation</w:t>
            </w:r>
          </w:p>
        </w:tc>
        <w:tc>
          <w:tcPr>
            <w:tcW w:w="12899" w:type="dxa"/>
            <w:vAlign w:val="center"/>
          </w:tcPr>
          <w:p w:rsidR="001D351E" w:rsidRPr="00120A84" w:rsidRDefault="00CF257F" w:rsidP="00477525">
            <w:hyperlink r:id="rId27" w:tooltip="Elaborations: 1) u'stand that people need to give &amp; follow dir'ns to &amp; from a place, involving turns, direction &amp; dist, 2) u'stand mean. &amp; import. of ‘clockwise’, ‘anticlockwise’, ‘forward’ &amp; ‘under’ when giving &amp; following dir'ns around familiar locations" w:history="1">
              <w:r w:rsidR="001A02B0" w:rsidRPr="00120A84">
                <w:rPr>
                  <w:rStyle w:val="Hyperlink"/>
                  <w:rFonts w:ascii="Helvetica" w:hAnsi="Helvetica" w:cs="Helvetica"/>
                  <w:color w:val="auto"/>
                  <w:sz w:val="20"/>
                  <w:szCs w:val="20"/>
                  <w:u w:val="none"/>
                  <w:shd w:val="clear" w:color="auto" w:fill="FFFFFF"/>
                </w:rPr>
                <w:t>Give and follow directions to familiar locations (ACMMG023)</w:t>
              </w:r>
            </w:hyperlink>
          </w:p>
        </w:tc>
        <w:tc>
          <w:tcPr>
            <w:tcW w:w="2552" w:type="dxa"/>
          </w:tcPr>
          <w:p w:rsidR="001D351E" w:rsidRDefault="001D351E" w:rsidP="00477525">
            <w:pPr>
              <w:jc w:val="center"/>
            </w:pPr>
          </w:p>
        </w:tc>
        <w:tc>
          <w:tcPr>
            <w:tcW w:w="1339" w:type="dxa"/>
          </w:tcPr>
          <w:p w:rsidR="001D351E" w:rsidRDefault="001D351E" w:rsidP="00477525">
            <w:pPr>
              <w:jc w:val="center"/>
            </w:pPr>
          </w:p>
        </w:tc>
        <w:sdt>
          <w:sdtPr>
            <w:id w:val="869270267"/>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250270328"/>
            <w14:checkbox>
              <w14:checked w14:val="0"/>
              <w14:checkedState w14:val="2612" w14:font="MS Gothic"/>
              <w14:uncheckedState w14:val="2610" w14:font="MS Gothic"/>
            </w14:checkbox>
          </w:sdtPr>
          <w:sdtEndPr/>
          <w:sdtContent>
            <w:tc>
              <w:tcPr>
                <w:tcW w:w="703" w:type="dxa"/>
                <w:vAlign w:val="center"/>
              </w:tcPr>
              <w:p w:rsidR="001D351E" w:rsidRDefault="001D351E" w:rsidP="00477525">
                <w:pPr>
                  <w:jc w:val="center"/>
                </w:pPr>
                <w:r>
                  <w:rPr>
                    <w:rFonts w:ascii="MS Gothic" w:eastAsia="MS Gothic" w:hAnsi="MS Gothic" w:hint="eastAsia"/>
                  </w:rPr>
                  <w:t>☐</w:t>
                </w:r>
              </w:p>
            </w:tc>
          </w:sdtContent>
        </w:sdt>
        <w:sdt>
          <w:sdtPr>
            <w:id w:val="-1309703083"/>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1123503122"/>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tr>
      <w:tr w:rsidR="001D351E" w:rsidTr="006B3DED">
        <w:tc>
          <w:tcPr>
            <w:tcW w:w="15559" w:type="dxa"/>
            <w:gridSpan w:val="2"/>
            <w:shd w:val="clear" w:color="auto" w:fill="D99594" w:themeFill="accent2" w:themeFillTint="99"/>
            <w:vAlign w:val="center"/>
          </w:tcPr>
          <w:p w:rsidR="001D351E" w:rsidRDefault="001D351E" w:rsidP="001D351E">
            <w:pPr>
              <w:jc w:val="center"/>
              <w:rPr>
                <w:b/>
              </w:rPr>
            </w:pPr>
            <w:r>
              <w:rPr>
                <w:b/>
                <w:sz w:val="28"/>
                <w:szCs w:val="28"/>
              </w:rPr>
              <w:t xml:space="preserve">STATISTICS AND PROBABILITY </w:t>
            </w:r>
          </w:p>
        </w:tc>
        <w:tc>
          <w:tcPr>
            <w:tcW w:w="2552" w:type="dxa"/>
            <w:shd w:val="clear" w:color="auto" w:fill="D99594" w:themeFill="accent2" w:themeFillTint="99"/>
          </w:tcPr>
          <w:p w:rsidR="001D351E" w:rsidRDefault="001D351E" w:rsidP="001D351E">
            <w:pPr>
              <w:jc w:val="center"/>
              <w:rPr>
                <w:b/>
              </w:rPr>
            </w:pPr>
          </w:p>
        </w:tc>
        <w:tc>
          <w:tcPr>
            <w:tcW w:w="1339" w:type="dxa"/>
            <w:shd w:val="clear" w:color="auto" w:fill="D99594" w:themeFill="accent2" w:themeFillTint="99"/>
            <w:vAlign w:val="center"/>
          </w:tcPr>
          <w:p w:rsidR="001D351E" w:rsidRPr="00647AB6" w:rsidRDefault="001D351E" w:rsidP="001D351E">
            <w:pPr>
              <w:jc w:val="center"/>
              <w:rPr>
                <w:b/>
              </w:rPr>
            </w:pPr>
          </w:p>
        </w:tc>
        <w:tc>
          <w:tcPr>
            <w:tcW w:w="704" w:type="dxa"/>
            <w:shd w:val="clear" w:color="auto" w:fill="D99594" w:themeFill="accent2" w:themeFillTint="99"/>
            <w:vAlign w:val="center"/>
          </w:tcPr>
          <w:p w:rsidR="001D351E" w:rsidRPr="00647AB6" w:rsidRDefault="001D351E" w:rsidP="001D351E">
            <w:pPr>
              <w:jc w:val="center"/>
              <w:rPr>
                <w:b/>
              </w:rPr>
            </w:pPr>
          </w:p>
        </w:tc>
        <w:tc>
          <w:tcPr>
            <w:tcW w:w="703" w:type="dxa"/>
            <w:shd w:val="clear" w:color="auto" w:fill="D99594" w:themeFill="accent2" w:themeFillTint="99"/>
            <w:vAlign w:val="center"/>
          </w:tcPr>
          <w:p w:rsidR="001D351E" w:rsidRPr="00647AB6" w:rsidRDefault="001D351E" w:rsidP="001D351E">
            <w:pPr>
              <w:jc w:val="center"/>
              <w:rPr>
                <w:b/>
              </w:rPr>
            </w:pPr>
          </w:p>
        </w:tc>
        <w:tc>
          <w:tcPr>
            <w:tcW w:w="704" w:type="dxa"/>
            <w:shd w:val="clear" w:color="auto" w:fill="D99594" w:themeFill="accent2" w:themeFillTint="99"/>
            <w:vAlign w:val="center"/>
          </w:tcPr>
          <w:p w:rsidR="001D351E" w:rsidRPr="008117D3" w:rsidRDefault="001D351E" w:rsidP="001D351E">
            <w:pPr>
              <w:jc w:val="center"/>
              <w:rPr>
                <w:b/>
              </w:rPr>
            </w:pPr>
          </w:p>
        </w:tc>
        <w:tc>
          <w:tcPr>
            <w:tcW w:w="704" w:type="dxa"/>
            <w:shd w:val="clear" w:color="auto" w:fill="D99594" w:themeFill="accent2" w:themeFillTint="99"/>
            <w:vAlign w:val="center"/>
          </w:tcPr>
          <w:p w:rsidR="001D351E" w:rsidRDefault="001D351E" w:rsidP="001D351E">
            <w:pPr>
              <w:jc w:val="center"/>
              <w:rPr>
                <w:rFonts w:ascii="MS Gothic" w:eastAsia="MS Gothic" w:hAnsi="MS Gothic"/>
              </w:rPr>
            </w:pPr>
          </w:p>
        </w:tc>
      </w:tr>
      <w:tr w:rsidR="001D351E" w:rsidTr="006B3DED">
        <w:tc>
          <w:tcPr>
            <w:tcW w:w="2660" w:type="dxa"/>
            <w:vAlign w:val="center"/>
          </w:tcPr>
          <w:p w:rsidR="001D351E" w:rsidRPr="00647AB6" w:rsidRDefault="00132B57" w:rsidP="001D351E">
            <w:pPr>
              <w:jc w:val="center"/>
              <w:rPr>
                <w:sz w:val="20"/>
                <w:szCs w:val="20"/>
              </w:rPr>
            </w:pPr>
            <w:r>
              <w:rPr>
                <w:sz w:val="20"/>
                <w:szCs w:val="20"/>
              </w:rPr>
              <w:t>Chance</w:t>
            </w:r>
          </w:p>
        </w:tc>
        <w:tc>
          <w:tcPr>
            <w:tcW w:w="12899" w:type="dxa"/>
            <w:vAlign w:val="center"/>
          </w:tcPr>
          <w:p w:rsidR="001D351E" w:rsidRPr="00132B57" w:rsidRDefault="00CF257F" w:rsidP="001D351E">
            <w:pPr>
              <w:rPr>
                <w:b/>
                <w:i/>
                <w:sz w:val="18"/>
                <w:szCs w:val="18"/>
              </w:rPr>
            </w:pPr>
            <w:hyperlink r:id="rId28" w:tooltip="Elaborations: justifying that some events are certain or impossible" w:history="1">
              <w:r w:rsidR="00132B57" w:rsidRPr="00132B57">
                <w:rPr>
                  <w:rStyle w:val="Hyperlink"/>
                  <w:rFonts w:ascii="Helvetica" w:hAnsi="Helvetica" w:cs="Helvetica"/>
                  <w:color w:val="auto"/>
                  <w:sz w:val="20"/>
                  <w:szCs w:val="20"/>
                  <w:u w:val="none"/>
                  <w:shd w:val="clear" w:color="auto" w:fill="FFFFFF"/>
                </w:rPr>
                <w:t>Identify outcomes of familiar events involving chance and describe them using everyday language such as ‘will happen’, ‘won’t happen’ or ‘might happen’(ACMSP024)</w:t>
              </w:r>
            </w:hyperlink>
          </w:p>
        </w:tc>
        <w:tc>
          <w:tcPr>
            <w:tcW w:w="2552" w:type="dxa"/>
          </w:tcPr>
          <w:p w:rsidR="001D351E" w:rsidRDefault="00CF257F" w:rsidP="001D351E">
            <w:pPr>
              <w:jc w:val="center"/>
            </w:pPr>
            <w:hyperlink r:id="rId29" w:history="1">
              <w:r w:rsidR="00A66DAF">
                <w:rPr>
                  <w:rStyle w:val="Hyperlink"/>
                  <w:b/>
                  <w:i/>
                  <w:color w:val="00B050"/>
                  <w:sz w:val="18"/>
                  <w:szCs w:val="18"/>
                </w:rPr>
                <w:t>TIMESSP16</w:t>
              </w:r>
            </w:hyperlink>
          </w:p>
        </w:tc>
        <w:tc>
          <w:tcPr>
            <w:tcW w:w="1339" w:type="dxa"/>
          </w:tcPr>
          <w:p w:rsidR="001D351E" w:rsidRDefault="001D351E" w:rsidP="001D351E">
            <w:pPr>
              <w:jc w:val="center"/>
            </w:pPr>
          </w:p>
        </w:tc>
        <w:sdt>
          <w:sdtPr>
            <w:id w:val="-546369402"/>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512031544"/>
            <w14:checkbox>
              <w14:checked w14:val="0"/>
              <w14:checkedState w14:val="2612" w14:font="MS Gothic"/>
              <w14:uncheckedState w14:val="2610" w14:font="MS Gothic"/>
            </w14:checkbox>
          </w:sdtPr>
          <w:sdtEndPr/>
          <w:sdtContent>
            <w:tc>
              <w:tcPr>
                <w:tcW w:w="703" w:type="dxa"/>
                <w:vAlign w:val="center"/>
              </w:tcPr>
              <w:p w:rsidR="001D351E" w:rsidRDefault="001D351E" w:rsidP="001D351E">
                <w:pPr>
                  <w:jc w:val="center"/>
                </w:pPr>
                <w:r>
                  <w:rPr>
                    <w:rFonts w:ascii="MS Gothic" w:eastAsia="MS Gothic" w:hAnsi="MS Gothic" w:hint="eastAsia"/>
                  </w:rPr>
                  <w:t>☐</w:t>
                </w:r>
              </w:p>
            </w:tc>
          </w:sdtContent>
        </w:sdt>
        <w:sdt>
          <w:sdtPr>
            <w:id w:val="-186831632"/>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tc>
          <w:tcPr>
            <w:tcW w:w="704" w:type="dxa"/>
            <w:vAlign w:val="center"/>
          </w:tcPr>
          <w:p w:rsidR="001D351E" w:rsidRDefault="00CF257F" w:rsidP="001D351E">
            <w:pPr>
              <w:jc w:val="center"/>
            </w:pPr>
            <w:sdt>
              <w:sdtPr>
                <w:id w:val="1287391883"/>
                <w14:checkbox>
                  <w14:checked w14:val="0"/>
                  <w14:checkedState w14:val="2612" w14:font="MS Gothic"/>
                  <w14:uncheckedState w14:val="2610" w14:font="MS Gothic"/>
                </w14:checkbox>
              </w:sdtPr>
              <w:sdtEndPr/>
              <w:sdtContent>
                <w:r w:rsidR="001D351E">
                  <w:rPr>
                    <w:rFonts w:ascii="MS Gothic" w:eastAsia="MS Gothic" w:hAnsi="MS Gothic" w:hint="eastAsia"/>
                  </w:rPr>
                  <w:t>☐</w:t>
                </w:r>
              </w:sdtContent>
            </w:sdt>
          </w:p>
        </w:tc>
      </w:tr>
      <w:tr w:rsidR="001D351E" w:rsidTr="006B3DED">
        <w:tc>
          <w:tcPr>
            <w:tcW w:w="2660" w:type="dxa"/>
            <w:vAlign w:val="center"/>
          </w:tcPr>
          <w:p w:rsidR="001D351E" w:rsidRDefault="00132B57" w:rsidP="001D351E">
            <w:pPr>
              <w:jc w:val="center"/>
              <w:rPr>
                <w:sz w:val="20"/>
                <w:szCs w:val="20"/>
              </w:rPr>
            </w:pPr>
            <w:r>
              <w:rPr>
                <w:sz w:val="20"/>
                <w:szCs w:val="20"/>
              </w:rPr>
              <w:t>Data Representation &amp; Interpretation</w:t>
            </w:r>
          </w:p>
        </w:tc>
        <w:tc>
          <w:tcPr>
            <w:tcW w:w="12899" w:type="dxa"/>
            <w:vAlign w:val="center"/>
          </w:tcPr>
          <w:p w:rsidR="001D351E" w:rsidRPr="00132B57" w:rsidRDefault="00CF257F" w:rsidP="001D351E">
            <w:pPr>
              <w:rPr>
                <w:b/>
                <w:i/>
                <w:sz w:val="18"/>
                <w:szCs w:val="18"/>
              </w:rPr>
            </w:pPr>
            <w:hyperlink r:id="rId30" w:tooltip="Elaborations: determining which questions will gather appropriate responses for a simple investigation" w:history="1">
              <w:r w:rsidR="00132B57" w:rsidRPr="00132B57">
                <w:rPr>
                  <w:rStyle w:val="Hyperlink"/>
                  <w:rFonts w:ascii="Helvetica" w:hAnsi="Helvetica" w:cs="Helvetica"/>
                  <w:color w:val="auto"/>
                  <w:sz w:val="20"/>
                  <w:szCs w:val="20"/>
                  <w:u w:val="none"/>
                  <w:shd w:val="clear" w:color="auto" w:fill="FFFFFF"/>
                </w:rPr>
                <w:t>Choose simple questions and gather responses (ACMSP262)</w:t>
              </w:r>
            </w:hyperlink>
          </w:p>
        </w:tc>
        <w:tc>
          <w:tcPr>
            <w:tcW w:w="2552" w:type="dxa"/>
          </w:tcPr>
          <w:p w:rsidR="001D351E" w:rsidRDefault="00CF257F" w:rsidP="001D351E">
            <w:pPr>
              <w:jc w:val="center"/>
            </w:pPr>
            <w:hyperlink r:id="rId31" w:history="1">
              <w:r w:rsidR="00A66DAF">
                <w:rPr>
                  <w:rStyle w:val="Hyperlink"/>
                  <w:b/>
                  <w:i/>
                  <w:color w:val="00B050"/>
                  <w:sz w:val="18"/>
                  <w:szCs w:val="18"/>
                </w:rPr>
                <w:t>TIMESSP17</w:t>
              </w:r>
            </w:hyperlink>
          </w:p>
        </w:tc>
        <w:tc>
          <w:tcPr>
            <w:tcW w:w="1339" w:type="dxa"/>
          </w:tcPr>
          <w:p w:rsidR="001D351E" w:rsidRDefault="001D351E" w:rsidP="001D351E">
            <w:pPr>
              <w:jc w:val="center"/>
            </w:pPr>
          </w:p>
        </w:tc>
        <w:sdt>
          <w:sdtPr>
            <w:id w:val="-1078901337"/>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1845129054"/>
            <w14:checkbox>
              <w14:checked w14:val="0"/>
              <w14:checkedState w14:val="2612" w14:font="MS Gothic"/>
              <w14:uncheckedState w14:val="2610" w14:font="MS Gothic"/>
            </w14:checkbox>
          </w:sdtPr>
          <w:sdtEndPr/>
          <w:sdtContent>
            <w:tc>
              <w:tcPr>
                <w:tcW w:w="703" w:type="dxa"/>
                <w:vAlign w:val="center"/>
              </w:tcPr>
              <w:p w:rsidR="001D351E" w:rsidRDefault="001D351E" w:rsidP="001D351E">
                <w:pPr>
                  <w:jc w:val="center"/>
                </w:pPr>
                <w:r>
                  <w:rPr>
                    <w:rFonts w:ascii="MS Gothic" w:eastAsia="MS Gothic" w:hAnsi="MS Gothic" w:hint="eastAsia"/>
                  </w:rPr>
                  <w:t>☐</w:t>
                </w:r>
              </w:p>
            </w:tc>
          </w:sdtContent>
        </w:sdt>
        <w:sdt>
          <w:sdtPr>
            <w:id w:val="-960572829"/>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2098284800"/>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tr>
      <w:tr w:rsidR="001D351E" w:rsidTr="006B3DED">
        <w:tc>
          <w:tcPr>
            <w:tcW w:w="2660" w:type="dxa"/>
            <w:vAlign w:val="center"/>
          </w:tcPr>
          <w:p w:rsidR="001D351E" w:rsidRPr="00647AB6" w:rsidRDefault="001D351E" w:rsidP="001D351E">
            <w:pPr>
              <w:jc w:val="center"/>
              <w:rPr>
                <w:sz w:val="20"/>
                <w:szCs w:val="20"/>
              </w:rPr>
            </w:pPr>
          </w:p>
        </w:tc>
        <w:tc>
          <w:tcPr>
            <w:tcW w:w="12899" w:type="dxa"/>
            <w:vAlign w:val="center"/>
          </w:tcPr>
          <w:p w:rsidR="001D351E" w:rsidRPr="00132B57" w:rsidRDefault="00CF257F" w:rsidP="001D351E">
            <w:pPr>
              <w:rPr>
                <w:b/>
                <w:i/>
                <w:sz w:val="18"/>
                <w:szCs w:val="18"/>
              </w:rPr>
            </w:pPr>
            <w:hyperlink r:id="rId32" w:tooltip="Elaborations: 1) understanding one-to-one correspondence, 2) describing displays by identifying categories with the greatest or least number of objects" w:history="1">
              <w:r w:rsidR="00132B57" w:rsidRPr="00132B57">
                <w:rPr>
                  <w:rStyle w:val="Hyperlink"/>
                  <w:rFonts w:ascii="Helvetica" w:hAnsi="Helvetica" w:cs="Helvetica"/>
                  <w:color w:val="auto"/>
                  <w:sz w:val="20"/>
                  <w:szCs w:val="20"/>
                  <w:u w:val="none"/>
                  <w:shd w:val="clear" w:color="auto" w:fill="FFFFFF"/>
                </w:rPr>
                <w:t>Represent data with objects and drawings where one object or drawing represents one data value. Describe the displays (ACMSP263)</w:t>
              </w:r>
            </w:hyperlink>
          </w:p>
        </w:tc>
        <w:tc>
          <w:tcPr>
            <w:tcW w:w="2552" w:type="dxa"/>
          </w:tcPr>
          <w:p w:rsidR="001D351E" w:rsidRDefault="00CF257F" w:rsidP="001D351E">
            <w:pPr>
              <w:jc w:val="center"/>
            </w:pPr>
            <w:hyperlink r:id="rId33" w:history="1">
              <w:r w:rsidR="00A66DAF">
                <w:rPr>
                  <w:rStyle w:val="Hyperlink"/>
                  <w:b/>
                  <w:i/>
                  <w:color w:val="00B050"/>
                  <w:sz w:val="18"/>
                  <w:szCs w:val="18"/>
                </w:rPr>
                <w:t>TIMESSP17</w:t>
              </w:r>
            </w:hyperlink>
          </w:p>
        </w:tc>
        <w:tc>
          <w:tcPr>
            <w:tcW w:w="1339" w:type="dxa"/>
          </w:tcPr>
          <w:p w:rsidR="001D351E" w:rsidRDefault="001D351E" w:rsidP="001D351E">
            <w:pPr>
              <w:jc w:val="center"/>
            </w:pPr>
          </w:p>
        </w:tc>
        <w:sdt>
          <w:sdtPr>
            <w:id w:val="-479460065"/>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973905999"/>
            <w14:checkbox>
              <w14:checked w14:val="0"/>
              <w14:checkedState w14:val="2612" w14:font="MS Gothic"/>
              <w14:uncheckedState w14:val="2610" w14:font="MS Gothic"/>
            </w14:checkbox>
          </w:sdtPr>
          <w:sdtEndPr/>
          <w:sdtContent>
            <w:tc>
              <w:tcPr>
                <w:tcW w:w="703" w:type="dxa"/>
                <w:vAlign w:val="center"/>
              </w:tcPr>
              <w:p w:rsidR="001D351E" w:rsidRDefault="001D351E" w:rsidP="001D351E">
                <w:pPr>
                  <w:jc w:val="center"/>
                </w:pPr>
                <w:r>
                  <w:rPr>
                    <w:rFonts w:ascii="MS Gothic" w:eastAsia="MS Gothic" w:hAnsi="MS Gothic" w:hint="eastAsia"/>
                  </w:rPr>
                  <w:t>☐</w:t>
                </w:r>
              </w:p>
            </w:tc>
          </w:sdtContent>
        </w:sdt>
        <w:sdt>
          <w:sdtPr>
            <w:id w:val="1947117658"/>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264688811"/>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tr>
      <w:tr w:rsidR="00482DD4" w:rsidTr="006B3DED">
        <w:tc>
          <w:tcPr>
            <w:tcW w:w="15559" w:type="dxa"/>
            <w:gridSpan w:val="2"/>
            <w:shd w:val="clear" w:color="auto" w:fill="D99594" w:themeFill="accent2" w:themeFillTint="99"/>
            <w:vAlign w:val="center"/>
          </w:tcPr>
          <w:p w:rsidR="00482DD4" w:rsidRPr="0093703D" w:rsidRDefault="008165B9" w:rsidP="00DF70E3">
            <w:pPr>
              <w:jc w:val="center"/>
              <w:rPr>
                <w:rFonts w:ascii="Helvetica" w:hAnsi="Helvetica" w:cs="Helvetica"/>
                <w:sz w:val="20"/>
                <w:szCs w:val="20"/>
                <w:shd w:val="clear" w:color="auto" w:fill="FFFFFF"/>
              </w:rPr>
            </w:pPr>
            <w:r>
              <w:rPr>
                <w:b/>
                <w:sz w:val="28"/>
                <w:szCs w:val="28"/>
              </w:rPr>
              <w:t>PROFICIENCIES</w:t>
            </w:r>
            <w:r w:rsidR="00482DD4">
              <w:rPr>
                <w:b/>
                <w:sz w:val="28"/>
                <w:szCs w:val="28"/>
              </w:rPr>
              <w:t xml:space="preserve"> (Embedded Throughout)</w:t>
            </w:r>
          </w:p>
        </w:tc>
        <w:tc>
          <w:tcPr>
            <w:tcW w:w="6706" w:type="dxa"/>
            <w:gridSpan w:val="6"/>
            <w:shd w:val="clear" w:color="auto" w:fill="D99594" w:themeFill="accent2" w:themeFillTint="99"/>
          </w:tcPr>
          <w:p w:rsidR="00482DD4" w:rsidRPr="00482DD4" w:rsidRDefault="00482DD4" w:rsidP="001D351E">
            <w:pPr>
              <w:jc w:val="center"/>
              <w:rPr>
                <w:rFonts w:ascii="MS Gothic" w:eastAsia="MS Gothic" w:hAnsi="MS Gothic"/>
                <w:b/>
              </w:rPr>
            </w:pPr>
            <w:r w:rsidRPr="00482DD4">
              <w:rPr>
                <w:rFonts w:ascii="MS Gothic" w:eastAsia="MS Gothic" w:hAnsi="MS Gothic"/>
                <w:b/>
              </w:rPr>
              <w:t>Keywords</w:t>
            </w:r>
          </w:p>
        </w:tc>
      </w:tr>
      <w:tr w:rsidR="00132B57" w:rsidTr="002D2CF4">
        <w:tc>
          <w:tcPr>
            <w:tcW w:w="2660" w:type="dxa"/>
            <w:vAlign w:val="center"/>
          </w:tcPr>
          <w:p w:rsidR="00132B57" w:rsidRPr="00005C05" w:rsidRDefault="00CF257F" w:rsidP="001D351E">
            <w:pPr>
              <w:jc w:val="center"/>
              <w:rPr>
                <w:b/>
                <w:color w:val="000000" w:themeColor="text1"/>
                <w:sz w:val="20"/>
                <w:szCs w:val="20"/>
              </w:rPr>
            </w:pPr>
            <w:hyperlink r:id="rId34" w:tooltip="A full list of Understanding Statements and Keywords" w:history="1">
              <w:r w:rsidR="00132B57" w:rsidRPr="00005C05">
                <w:rPr>
                  <w:rStyle w:val="Hyperlink"/>
                  <w:b/>
                  <w:color w:val="000000" w:themeColor="text1"/>
                  <w:sz w:val="20"/>
                  <w:szCs w:val="20"/>
                  <w:u w:val="none"/>
                </w:rPr>
                <w:t>Understanding</w:t>
              </w:r>
            </w:hyperlink>
          </w:p>
        </w:tc>
        <w:tc>
          <w:tcPr>
            <w:tcW w:w="12899" w:type="dxa"/>
          </w:tcPr>
          <w:p w:rsidR="00132B57" w:rsidRPr="00D32D09" w:rsidRDefault="00132B57" w:rsidP="00CC49E7">
            <w:pPr>
              <w:rPr>
                <w:rFonts w:ascii="Calibri" w:hAnsi="Calibri"/>
              </w:rPr>
            </w:pPr>
            <w:r w:rsidRPr="00434A51">
              <w:rPr>
                <w:rFonts w:ascii="Calibri" w:hAnsi="Calibri"/>
              </w:rPr>
              <w:t>includes connecting names, numerals and quantities, and partitioning numbers in various ways</w:t>
            </w:r>
          </w:p>
        </w:tc>
        <w:tc>
          <w:tcPr>
            <w:tcW w:w="6706" w:type="dxa"/>
            <w:gridSpan w:val="6"/>
          </w:tcPr>
          <w:p w:rsidR="00132B57" w:rsidRPr="00DF60BB" w:rsidRDefault="00132B57" w:rsidP="00CC49E7">
            <w:pPr>
              <w:rPr>
                <w:rFonts w:ascii="Calibri" w:hAnsi="Calibri"/>
              </w:rPr>
            </w:pPr>
            <w:r>
              <w:rPr>
                <w:rFonts w:ascii="Calibri" w:hAnsi="Calibri"/>
              </w:rPr>
              <w:t>Making connections, noticing properties, manipulating according to properties</w:t>
            </w:r>
          </w:p>
        </w:tc>
      </w:tr>
      <w:tr w:rsidR="00132B57" w:rsidTr="005641B0">
        <w:tc>
          <w:tcPr>
            <w:tcW w:w="2660" w:type="dxa"/>
            <w:vAlign w:val="center"/>
          </w:tcPr>
          <w:p w:rsidR="00132B57" w:rsidRPr="00005C05" w:rsidRDefault="00CF257F" w:rsidP="001D351E">
            <w:pPr>
              <w:jc w:val="center"/>
              <w:rPr>
                <w:b/>
                <w:sz w:val="20"/>
                <w:szCs w:val="20"/>
              </w:rPr>
            </w:pPr>
            <w:hyperlink r:id="rId35" w:tooltip="A full list of Fluency Statements and Keywords" w:history="1">
              <w:r w:rsidR="00132B57" w:rsidRPr="00005C05">
                <w:rPr>
                  <w:rStyle w:val="Hyperlink"/>
                  <w:b/>
                  <w:color w:val="auto"/>
                  <w:sz w:val="20"/>
                  <w:szCs w:val="20"/>
                  <w:u w:val="none"/>
                </w:rPr>
                <w:t>Fluency</w:t>
              </w:r>
            </w:hyperlink>
          </w:p>
        </w:tc>
        <w:tc>
          <w:tcPr>
            <w:tcW w:w="12899" w:type="dxa"/>
          </w:tcPr>
          <w:p w:rsidR="00132B57" w:rsidRPr="00D32D09" w:rsidRDefault="00132B57" w:rsidP="00CC49E7">
            <w:pPr>
              <w:rPr>
                <w:rFonts w:ascii="Calibri" w:hAnsi="Calibri"/>
              </w:rPr>
            </w:pPr>
            <w:r>
              <w:rPr>
                <w:rFonts w:ascii="Calibri" w:hAnsi="Calibri"/>
              </w:rPr>
              <w:t>includes counting number in sequences readily forward and backwards, locating numbers on a line, and naming the days of the week</w:t>
            </w:r>
          </w:p>
        </w:tc>
        <w:tc>
          <w:tcPr>
            <w:tcW w:w="6706" w:type="dxa"/>
            <w:gridSpan w:val="6"/>
          </w:tcPr>
          <w:p w:rsidR="00132B57" w:rsidRPr="00DF60BB" w:rsidRDefault="00132B57" w:rsidP="00CC49E7">
            <w:pPr>
              <w:rPr>
                <w:rFonts w:ascii="Calibri" w:hAnsi="Calibri"/>
              </w:rPr>
            </w:pPr>
            <w:r>
              <w:rPr>
                <w:rFonts w:ascii="Calibri" w:hAnsi="Calibri"/>
              </w:rPr>
              <w:t>Counting, locating, naming</w:t>
            </w:r>
          </w:p>
        </w:tc>
      </w:tr>
      <w:tr w:rsidR="00132B57" w:rsidTr="003213EA">
        <w:tc>
          <w:tcPr>
            <w:tcW w:w="2660" w:type="dxa"/>
            <w:vAlign w:val="center"/>
          </w:tcPr>
          <w:p w:rsidR="00132B57" w:rsidRPr="00005C05" w:rsidRDefault="00CF257F" w:rsidP="00005C05">
            <w:pPr>
              <w:jc w:val="center"/>
              <w:rPr>
                <w:b/>
                <w:sz w:val="20"/>
                <w:szCs w:val="20"/>
              </w:rPr>
            </w:pPr>
            <w:hyperlink r:id="rId36" w:tooltip="A full list of Problem Solving Statements and Keywords" w:history="1">
              <w:r w:rsidR="00132B57" w:rsidRPr="00005C05">
                <w:rPr>
                  <w:rStyle w:val="Hyperlink"/>
                  <w:b/>
                  <w:color w:val="000000" w:themeColor="text1"/>
                  <w:sz w:val="20"/>
                  <w:szCs w:val="20"/>
                  <w:u w:val="none"/>
                </w:rPr>
                <w:t>Problem Solving</w:t>
              </w:r>
            </w:hyperlink>
          </w:p>
        </w:tc>
        <w:tc>
          <w:tcPr>
            <w:tcW w:w="12899" w:type="dxa"/>
          </w:tcPr>
          <w:p w:rsidR="00132B57" w:rsidRPr="00D32D09" w:rsidRDefault="007D6ECD" w:rsidP="00CC49E7">
            <w:pPr>
              <w:rPr>
                <w:rFonts w:ascii="Calibri" w:hAnsi="Calibri"/>
              </w:rPr>
            </w:pPr>
            <w:r>
              <w:rPr>
                <w:rFonts w:ascii="Calibri" w:hAnsi="Calibri"/>
              </w:rPr>
              <w:t>i</w:t>
            </w:r>
            <w:r w:rsidR="00132B57">
              <w:rPr>
                <w:rFonts w:ascii="Calibri" w:hAnsi="Calibri"/>
              </w:rPr>
              <w:t>ncludes using materials to model authentic problems, giving and receiving directions to unfamiliar places, and using familiar counting sequences to solve unfamiliar problems and discussing the reasonableness of the answer</w:t>
            </w:r>
          </w:p>
        </w:tc>
        <w:tc>
          <w:tcPr>
            <w:tcW w:w="6706" w:type="dxa"/>
            <w:gridSpan w:val="6"/>
          </w:tcPr>
          <w:p w:rsidR="00132B57" w:rsidRPr="00DF60BB" w:rsidRDefault="00132B57" w:rsidP="00CC49E7">
            <w:pPr>
              <w:rPr>
                <w:rFonts w:ascii="Calibri" w:hAnsi="Calibri"/>
              </w:rPr>
            </w:pPr>
            <w:r>
              <w:rPr>
                <w:rFonts w:ascii="Calibri" w:hAnsi="Calibri"/>
              </w:rPr>
              <w:t>Model, communicate directions, solve, discuss reasonableness</w:t>
            </w:r>
          </w:p>
        </w:tc>
      </w:tr>
      <w:tr w:rsidR="00132B57" w:rsidTr="00F52176">
        <w:tc>
          <w:tcPr>
            <w:tcW w:w="2660" w:type="dxa"/>
            <w:vAlign w:val="center"/>
          </w:tcPr>
          <w:p w:rsidR="00132B57" w:rsidRPr="00005C05" w:rsidRDefault="00CF257F" w:rsidP="001D351E">
            <w:pPr>
              <w:jc w:val="center"/>
              <w:rPr>
                <w:b/>
                <w:sz w:val="20"/>
                <w:szCs w:val="20"/>
              </w:rPr>
            </w:pPr>
            <w:hyperlink r:id="rId37" w:tooltip="A full list of Reasoning Statements and Keywords" w:history="1">
              <w:r w:rsidR="00132B57" w:rsidRPr="00005C05">
                <w:rPr>
                  <w:rStyle w:val="Hyperlink"/>
                  <w:b/>
                  <w:color w:val="auto"/>
                  <w:sz w:val="20"/>
                  <w:szCs w:val="20"/>
                  <w:u w:val="none"/>
                </w:rPr>
                <w:t>Reasoning</w:t>
              </w:r>
            </w:hyperlink>
          </w:p>
        </w:tc>
        <w:tc>
          <w:tcPr>
            <w:tcW w:w="12899" w:type="dxa"/>
          </w:tcPr>
          <w:p w:rsidR="00132B57" w:rsidRPr="00D32D09" w:rsidRDefault="00132B57" w:rsidP="00CC49E7">
            <w:pPr>
              <w:rPr>
                <w:rFonts w:ascii="Calibri" w:hAnsi="Calibri"/>
              </w:rPr>
            </w:pPr>
            <w:r>
              <w:rPr>
                <w:rFonts w:ascii="Calibri" w:hAnsi="Calibri"/>
              </w:rPr>
              <w:t>includes explaining direct and indirect comparisons of length using uniform informal units, justifying representations of data, and explaining patterns that have been created</w:t>
            </w:r>
          </w:p>
        </w:tc>
        <w:tc>
          <w:tcPr>
            <w:tcW w:w="6706" w:type="dxa"/>
            <w:gridSpan w:val="6"/>
          </w:tcPr>
          <w:p w:rsidR="00132B57" w:rsidRPr="00DF60BB" w:rsidRDefault="00132B57" w:rsidP="00CC49E7">
            <w:pPr>
              <w:rPr>
                <w:rFonts w:ascii="Calibri" w:hAnsi="Calibri"/>
              </w:rPr>
            </w:pPr>
            <w:r>
              <w:rPr>
                <w:rFonts w:ascii="Calibri" w:hAnsi="Calibri"/>
              </w:rPr>
              <w:t>Explaining, justifying</w:t>
            </w:r>
          </w:p>
        </w:tc>
      </w:tr>
    </w:tbl>
    <w:p w:rsidR="00C010C4" w:rsidRPr="00DF70E3" w:rsidRDefault="00C010C4" w:rsidP="0031783C"/>
    <w:sectPr w:rsidR="00C010C4" w:rsidRPr="00DF70E3" w:rsidSect="00F04F27">
      <w:footerReference w:type="default" r:id="rId38"/>
      <w:pgSz w:w="23814" w:h="16839" w:orient="landscape" w:code="8"/>
      <w:pgMar w:top="426" w:right="142" w:bottom="142" w:left="142" w:header="709"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7F" w:rsidRDefault="00CF257F" w:rsidP="00F04F27">
      <w:pPr>
        <w:spacing w:after="0" w:line="240" w:lineRule="auto"/>
      </w:pPr>
      <w:r>
        <w:separator/>
      </w:r>
    </w:p>
  </w:endnote>
  <w:endnote w:type="continuationSeparator" w:id="0">
    <w:p w:rsidR="00CF257F" w:rsidRDefault="00CF257F" w:rsidP="00F0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Std-Lt-Identity-">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7" w:rsidRDefault="00F04F27">
    <w:pPr>
      <w:pStyle w:val="Footer"/>
    </w:pPr>
    <w:r>
      <w:t xml:space="preserve">The original version of this Audit document was developed </w:t>
    </w:r>
    <w:r w:rsidR="00BA7AD5">
      <w:t>in conjunction with</w:t>
    </w:r>
    <w:r>
      <w:t xml:space="preserve"> the Townsville Catholic Education Office.</w:t>
    </w:r>
  </w:p>
  <w:p w:rsidR="00F04F27" w:rsidRDefault="00F04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7F" w:rsidRDefault="00CF257F" w:rsidP="00F04F27">
      <w:pPr>
        <w:spacing w:after="0" w:line="240" w:lineRule="auto"/>
      </w:pPr>
      <w:r>
        <w:separator/>
      </w:r>
    </w:p>
  </w:footnote>
  <w:footnote w:type="continuationSeparator" w:id="0">
    <w:p w:rsidR="00CF257F" w:rsidRDefault="00CF257F" w:rsidP="00F04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B6"/>
    <w:rsid w:val="00005C05"/>
    <w:rsid w:val="00025B5E"/>
    <w:rsid w:val="00047BD7"/>
    <w:rsid w:val="000606CF"/>
    <w:rsid w:val="00083B32"/>
    <w:rsid w:val="00085527"/>
    <w:rsid w:val="00093C58"/>
    <w:rsid w:val="000B0343"/>
    <w:rsid w:val="000C6253"/>
    <w:rsid w:val="000E27B2"/>
    <w:rsid w:val="00114EED"/>
    <w:rsid w:val="00117625"/>
    <w:rsid w:val="00117D91"/>
    <w:rsid w:val="00120A84"/>
    <w:rsid w:val="001235F8"/>
    <w:rsid w:val="00132B57"/>
    <w:rsid w:val="00133ED6"/>
    <w:rsid w:val="001504BE"/>
    <w:rsid w:val="001703DA"/>
    <w:rsid w:val="001A02B0"/>
    <w:rsid w:val="001D32BB"/>
    <w:rsid w:val="001D351E"/>
    <w:rsid w:val="001D52E2"/>
    <w:rsid w:val="001E6CDE"/>
    <w:rsid w:val="00257B7E"/>
    <w:rsid w:val="002A7585"/>
    <w:rsid w:val="002C4DEA"/>
    <w:rsid w:val="00303855"/>
    <w:rsid w:val="00306AED"/>
    <w:rsid w:val="00313D0F"/>
    <w:rsid w:val="0031783C"/>
    <w:rsid w:val="003440A2"/>
    <w:rsid w:val="00364796"/>
    <w:rsid w:val="003701B7"/>
    <w:rsid w:val="00385859"/>
    <w:rsid w:val="003B1EB5"/>
    <w:rsid w:val="003C784E"/>
    <w:rsid w:val="00405867"/>
    <w:rsid w:val="00477525"/>
    <w:rsid w:val="00482DD4"/>
    <w:rsid w:val="00496C03"/>
    <w:rsid w:val="004A130D"/>
    <w:rsid w:val="00501693"/>
    <w:rsid w:val="00523CF9"/>
    <w:rsid w:val="005E7F32"/>
    <w:rsid w:val="0064389E"/>
    <w:rsid w:val="00647AB6"/>
    <w:rsid w:val="00651B2A"/>
    <w:rsid w:val="0068744D"/>
    <w:rsid w:val="006A023E"/>
    <w:rsid w:val="006B3DED"/>
    <w:rsid w:val="006C0A8F"/>
    <w:rsid w:val="006C198A"/>
    <w:rsid w:val="006D46B1"/>
    <w:rsid w:val="006E4C80"/>
    <w:rsid w:val="00703ED5"/>
    <w:rsid w:val="00710DD3"/>
    <w:rsid w:val="00731A0F"/>
    <w:rsid w:val="00734F46"/>
    <w:rsid w:val="007C5D1E"/>
    <w:rsid w:val="007D4850"/>
    <w:rsid w:val="007D6C73"/>
    <w:rsid w:val="007D6ECD"/>
    <w:rsid w:val="007E3008"/>
    <w:rsid w:val="007F4A5B"/>
    <w:rsid w:val="008117D3"/>
    <w:rsid w:val="008165B9"/>
    <w:rsid w:val="00822318"/>
    <w:rsid w:val="00825EC0"/>
    <w:rsid w:val="008370F4"/>
    <w:rsid w:val="00852420"/>
    <w:rsid w:val="0085578D"/>
    <w:rsid w:val="00867079"/>
    <w:rsid w:val="008B0FE6"/>
    <w:rsid w:val="008B277E"/>
    <w:rsid w:val="008B62C5"/>
    <w:rsid w:val="008E24A0"/>
    <w:rsid w:val="008E3BB4"/>
    <w:rsid w:val="0093703D"/>
    <w:rsid w:val="0094676E"/>
    <w:rsid w:val="00995193"/>
    <w:rsid w:val="009A43DB"/>
    <w:rsid w:val="009E2DCD"/>
    <w:rsid w:val="00A14CE5"/>
    <w:rsid w:val="00A44BA0"/>
    <w:rsid w:val="00A646E1"/>
    <w:rsid w:val="00A66DAF"/>
    <w:rsid w:val="00B30AC3"/>
    <w:rsid w:val="00B413C4"/>
    <w:rsid w:val="00B421BE"/>
    <w:rsid w:val="00BA4BB8"/>
    <w:rsid w:val="00BA7AD5"/>
    <w:rsid w:val="00BE2CFB"/>
    <w:rsid w:val="00C010C4"/>
    <w:rsid w:val="00C17FED"/>
    <w:rsid w:val="00C3286E"/>
    <w:rsid w:val="00C3624D"/>
    <w:rsid w:val="00C50017"/>
    <w:rsid w:val="00C9168E"/>
    <w:rsid w:val="00CA3C47"/>
    <w:rsid w:val="00CA78B4"/>
    <w:rsid w:val="00CE3338"/>
    <w:rsid w:val="00CF257F"/>
    <w:rsid w:val="00DB72DB"/>
    <w:rsid w:val="00DD2715"/>
    <w:rsid w:val="00DE55DA"/>
    <w:rsid w:val="00DF51D3"/>
    <w:rsid w:val="00DF70E3"/>
    <w:rsid w:val="00E07176"/>
    <w:rsid w:val="00E774EA"/>
    <w:rsid w:val="00EB3FE3"/>
    <w:rsid w:val="00EB7BC1"/>
    <w:rsid w:val="00EC1493"/>
    <w:rsid w:val="00EE47D6"/>
    <w:rsid w:val="00F04F27"/>
    <w:rsid w:val="00F14FB9"/>
    <w:rsid w:val="00F319E1"/>
    <w:rsid w:val="00F51276"/>
    <w:rsid w:val="00F53D92"/>
    <w:rsid w:val="00FA55DF"/>
    <w:rsid w:val="00FD0812"/>
    <w:rsid w:val="00FF3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F0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27"/>
  </w:style>
  <w:style w:type="paragraph" w:styleId="Footer">
    <w:name w:val="footer"/>
    <w:basedOn w:val="Normal"/>
    <w:link w:val="FooterChar"/>
    <w:uiPriority w:val="99"/>
    <w:unhideWhenUsed/>
    <w:rsid w:val="00F0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F0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27"/>
  </w:style>
  <w:style w:type="paragraph" w:styleId="Footer">
    <w:name w:val="footer"/>
    <w:basedOn w:val="Normal"/>
    <w:link w:val="FooterChar"/>
    <w:uiPriority w:val="99"/>
    <w:unhideWhenUsed/>
    <w:rsid w:val="00F0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Mathematics/Curriculum/F-10?y=1&amp;s=NA&amp;layout=1" TargetMode="External"/><Relationship Id="rId18" Type="http://schemas.openxmlformats.org/officeDocument/2006/relationships/hyperlink" Target="http://www.australiancurriculum.edu.au/Mathematics/Curriculum/F-10?y=1&amp;s=NA&amp;layout=1" TargetMode="External"/><Relationship Id="rId26" Type="http://schemas.openxmlformats.org/officeDocument/2006/relationships/hyperlink" Target="http://www.australiancurriculum.edu.au/mathematics/curriculum/f-10?y=1&amp;s=MG&amp;layout=1" TargetMode="External"/><Relationship Id="rId39" Type="http://schemas.openxmlformats.org/officeDocument/2006/relationships/fontTable" Target="fontTable.xml"/><Relationship Id="rId21" Type="http://schemas.openxmlformats.org/officeDocument/2006/relationships/hyperlink" Target="http://www.australiancurriculum.edu.au/mathematics/curriculum/f-10?y=1&amp;s=MG&amp;layout=1" TargetMode="External"/><Relationship Id="rId34" Type="http://schemas.openxmlformats.org/officeDocument/2006/relationships/hyperlink" Target="file:///D:\Users\mconnor\Documents\Resources\AMSI%20School%20Program%20Implementation\AMSI%20Teacher%20Journal%20Master\2015%20Audit%20Docs\Proficiency%20Summaries\Understanding%20Statements%20and%20Keywords.docx" TargetMode="External"/><Relationship Id="rId7" Type="http://schemas.openxmlformats.org/officeDocument/2006/relationships/hyperlink" Target="http://www.calculate.org.au/" TargetMode="External"/><Relationship Id="rId12" Type="http://schemas.openxmlformats.org/officeDocument/2006/relationships/hyperlink" Target="http://www.amsi.org.au/teacher_modules/Counting_and_place_valueK-4.html" TargetMode="External"/><Relationship Id="rId17" Type="http://schemas.openxmlformats.org/officeDocument/2006/relationships/hyperlink" Target="http://www.australiancurriculum.edu.au/Mathematics/Curriculum/F-10?y=1&amp;s=NA&amp;layout=1" TargetMode="External"/><Relationship Id="rId25" Type="http://schemas.openxmlformats.org/officeDocument/2006/relationships/hyperlink" Target="http://www.amsi.org.au/teacher_modules/time.html" TargetMode="External"/><Relationship Id="rId33" Type="http://schemas.openxmlformats.org/officeDocument/2006/relationships/hyperlink" Target="http://www.amsi.org.au/teacher_modules/Data_Investigation_and_interpretationF-3.html" TargetMode="External"/><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amsi.org.au/teacher_modules/Counting_and_place_valueK-4.html" TargetMode="External"/><Relationship Id="rId20" Type="http://schemas.openxmlformats.org/officeDocument/2006/relationships/hyperlink" Target="http://www.australiancurriculum.edu.au/Mathematics/Curriculum/F-10?y=1&amp;s=NA&amp;layout=1" TargetMode="External"/><Relationship Id="rId29" Type="http://schemas.openxmlformats.org/officeDocument/2006/relationships/hyperlink" Target="http://www.amsi.org.au/teacher_modules/Chance_years_1-3.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ustraliancurriculum.edu.au/Mathematics/Curriculum/F-10?y=1&amp;s=NA&amp;layout=1" TargetMode="External"/><Relationship Id="rId24" Type="http://schemas.openxmlformats.org/officeDocument/2006/relationships/hyperlink" Target="http://www.australiancurriculum.edu.au/mathematics/curriculum/f-10?y=1&amp;s=MG&amp;layout=1" TargetMode="External"/><Relationship Id="rId32" Type="http://schemas.openxmlformats.org/officeDocument/2006/relationships/hyperlink" Target="http://www.australiancurriculum.edu.au/mathematics/curriculum/f-10?y=1&amp;s=SP&amp;layout=1" TargetMode="External"/><Relationship Id="rId37" Type="http://schemas.openxmlformats.org/officeDocument/2006/relationships/hyperlink" Target="file:///D:\Users\mconnor\Documents\Resources\AMSI%20School%20Program%20Implementation\AMSI%20Teacher%20Journal%20Master\2015%20Audit%20Docs\Proficiency%20Summaries\Reasoning%20Statements%20and%20Keywords.docx"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ustraliancurriculum.edu.au/Mathematics/Curriculum/F-10?y=1&amp;s=NA&amp;layout=1" TargetMode="External"/><Relationship Id="rId23" Type="http://schemas.openxmlformats.org/officeDocument/2006/relationships/hyperlink" Target="http://www.amsi.org.au/teacher_modules/time.html" TargetMode="External"/><Relationship Id="rId28" Type="http://schemas.openxmlformats.org/officeDocument/2006/relationships/hyperlink" Target="http://www.australiancurriculum.edu.au/mathematics/curriculum/f-10?y=1&amp;s=SP&amp;layout=1" TargetMode="External"/><Relationship Id="rId36" Type="http://schemas.openxmlformats.org/officeDocument/2006/relationships/hyperlink" Target="file:///D:\Users\mconnor\Documents\Resources\AMSI%20School%20Program%20Implementation\AMSI%20Teacher%20Journal%20Master\2015%20Audit%20Docs\Proficiency%20Summaries\Problem%20Solving%20Statements%20and%20Keywords.docx" TargetMode="External"/><Relationship Id="rId10" Type="http://schemas.openxmlformats.org/officeDocument/2006/relationships/image" Target="media/image2.jpg"/><Relationship Id="rId19" Type="http://schemas.openxmlformats.org/officeDocument/2006/relationships/hyperlink" Target="http://www.australiancurriculum.edu.au/Mathematics/Curriculum/F-10?y=1&amp;s=NA&amp;layout=1" TargetMode="External"/><Relationship Id="rId31" Type="http://schemas.openxmlformats.org/officeDocument/2006/relationships/hyperlink" Target="http://www.amsi.org.au/teacher_modules/Data_Investigation_and_interpretationF-3.html" TargetMode="External"/><Relationship Id="rId4" Type="http://schemas.openxmlformats.org/officeDocument/2006/relationships/webSettings" Target="webSettings.xml"/><Relationship Id="rId9" Type="http://schemas.openxmlformats.org/officeDocument/2006/relationships/hyperlink" Target="http://www.amsi.org.au" TargetMode="External"/><Relationship Id="rId14" Type="http://schemas.openxmlformats.org/officeDocument/2006/relationships/hyperlink" Target="http://www.amsi.org.au/teacher_modules/Counting_and_place_valueK-4.html" TargetMode="External"/><Relationship Id="rId22" Type="http://schemas.openxmlformats.org/officeDocument/2006/relationships/hyperlink" Target="http://www.australiancurriculum.edu.au/mathematics/curriculum/f-10?y=1&amp;s=MG&amp;layout=1" TargetMode="External"/><Relationship Id="rId27" Type="http://schemas.openxmlformats.org/officeDocument/2006/relationships/hyperlink" Target="http://www.australiancurriculum.edu.au/mathematics/curriculum/f-10?y=1&amp;s=MG&amp;layout=1" TargetMode="External"/><Relationship Id="rId30" Type="http://schemas.openxmlformats.org/officeDocument/2006/relationships/hyperlink" Target="http://www.australiancurriculum.edu.au/mathematics/curriculum/f-10?y=1&amp;s=SP&amp;layout=1" TargetMode="External"/><Relationship Id="rId35" Type="http://schemas.openxmlformats.org/officeDocument/2006/relationships/hyperlink" Target="file:///D:\Users\mconnor\Documents\Resources\AMSI%20School%20Program%20Implementation\AMSI%20Teacher%20Journal%20Master\2015%20Audit%20Docs\Proficiency%20Summaries\Fluency%20Statements%20and%20Keywords.docx" TargetMode="External"/><Relationship Id="rId8" Type="http://schemas.openxmlformats.org/officeDocument/2006/relationships/image" Target="media/image1.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Michael O'Connor</cp:lastModifiedBy>
  <cp:revision>9</cp:revision>
  <dcterms:created xsi:type="dcterms:W3CDTF">2014-11-24T23:01:00Z</dcterms:created>
  <dcterms:modified xsi:type="dcterms:W3CDTF">2015-11-18T22:10:00Z</dcterms:modified>
</cp:coreProperties>
</file>